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3160" w14:textId="77777777" w:rsidR="00FB4003" w:rsidRDefault="00FB4003" w:rsidP="00C44E7C">
      <w:pPr>
        <w:pStyle w:val="a4"/>
        <w:spacing w:line="360" w:lineRule="exact"/>
        <w:rPr>
          <w:rFonts w:ascii="Tahoma" w:eastAsia="華康細圓體" w:hAnsi="Tahoma" w:cs="Tahoma"/>
          <w:sz w:val="28"/>
          <w:szCs w:val="28"/>
        </w:rPr>
      </w:pPr>
      <w:r w:rsidRPr="00FB4003">
        <w:rPr>
          <w:rFonts w:ascii="Tahoma" w:eastAsia="華康細圓體" w:hAnsi="Tahoma" w:cs="Tahoma"/>
          <w:sz w:val="28"/>
          <w:szCs w:val="28"/>
        </w:rPr>
        <w:t xml:space="preserve">Co-targeting PD-L1 and CDK4 benefits plasticizer-associated early-onset breast </w:t>
      </w:r>
      <w:proofErr w:type="spellStart"/>
      <w:r w:rsidRPr="00FB4003">
        <w:rPr>
          <w:rFonts w:ascii="Tahoma" w:eastAsia="華康細圓體" w:hAnsi="Tahoma" w:cs="Tahoma"/>
          <w:sz w:val="28"/>
          <w:szCs w:val="28"/>
        </w:rPr>
        <w:t>cancer</w:t>
      </w:r>
      <w:proofErr w:type="spellEnd"/>
    </w:p>
    <w:p w14:paraId="235479D9" w14:textId="77777777" w:rsidR="00FB4003" w:rsidRPr="00FB4003" w:rsidRDefault="00FB4003" w:rsidP="00FB4003">
      <w:pPr>
        <w:pStyle w:val="Teaser"/>
        <w:spacing w:line="360" w:lineRule="exact"/>
        <w:jc w:val="both"/>
        <w:rPr>
          <w:rFonts w:ascii="Tahoma" w:hAnsi="Tahoma" w:cs="Tahoma"/>
          <w:sz w:val="22"/>
          <w:szCs w:val="22"/>
        </w:rPr>
      </w:pPr>
      <w:r w:rsidRPr="00FB4003">
        <w:rPr>
          <w:rFonts w:ascii="Tahoma" w:hAnsi="Tahoma" w:cs="Tahoma"/>
          <w:sz w:val="22"/>
          <w:szCs w:val="22"/>
        </w:rPr>
        <w:t>Shu-Wei Hu</w:t>
      </w:r>
      <w:r w:rsidRPr="00FB4003">
        <w:rPr>
          <w:rFonts w:ascii="Tahoma" w:hAnsi="Tahoma" w:cs="Tahoma"/>
          <w:sz w:val="22"/>
          <w:szCs w:val="22"/>
          <w:vertAlign w:val="superscript"/>
        </w:rPr>
        <w:t>1,</w:t>
      </w:r>
      <w:proofErr w:type="gramStart"/>
      <w:r w:rsidRPr="00FB4003">
        <w:rPr>
          <w:rFonts w:ascii="Tahoma" w:hAnsi="Tahoma" w:cs="Tahoma"/>
          <w:sz w:val="22"/>
          <w:szCs w:val="22"/>
          <w:vertAlign w:val="superscript"/>
        </w:rPr>
        <w:t>2,*</w:t>
      </w:r>
      <w:proofErr w:type="gramEnd"/>
      <w:r w:rsidRPr="00FB4003">
        <w:rPr>
          <w:rFonts w:ascii="Tahoma" w:hAnsi="Tahoma" w:cs="Tahoma"/>
          <w:sz w:val="22"/>
          <w:szCs w:val="22"/>
        </w:rPr>
        <w:t>, Ming-</w:t>
      </w:r>
      <w:proofErr w:type="spellStart"/>
      <w:r w:rsidRPr="00FB4003">
        <w:rPr>
          <w:rFonts w:ascii="Tahoma" w:hAnsi="Tahoma" w:cs="Tahoma"/>
          <w:sz w:val="22"/>
          <w:szCs w:val="22"/>
        </w:rPr>
        <w:t>Hsin</w:t>
      </w:r>
      <w:proofErr w:type="spellEnd"/>
      <w:r w:rsidRPr="00FB4003">
        <w:rPr>
          <w:rFonts w:ascii="Tahoma" w:hAnsi="Tahoma" w:cs="Tahoma"/>
          <w:sz w:val="22"/>
          <w:szCs w:val="22"/>
        </w:rPr>
        <w:t xml:space="preserve"> Yeh</w:t>
      </w:r>
      <w:r w:rsidRPr="00FB4003">
        <w:rPr>
          <w:rFonts w:ascii="Tahoma" w:hAnsi="Tahoma" w:cs="Tahoma"/>
          <w:sz w:val="22"/>
          <w:szCs w:val="22"/>
          <w:vertAlign w:val="superscript"/>
        </w:rPr>
        <w:t>3,4,*</w:t>
      </w:r>
      <w:r w:rsidRPr="00FB4003">
        <w:rPr>
          <w:rFonts w:ascii="Tahoma" w:hAnsi="Tahoma" w:cs="Tahoma"/>
          <w:sz w:val="22"/>
          <w:szCs w:val="22"/>
        </w:rPr>
        <w:t>, Yu-Hao He</w:t>
      </w:r>
      <w:r w:rsidRPr="00FB4003">
        <w:rPr>
          <w:rFonts w:ascii="Tahoma" w:hAnsi="Tahoma" w:cs="Tahoma"/>
          <w:sz w:val="22"/>
          <w:szCs w:val="22"/>
          <w:vertAlign w:val="superscript"/>
        </w:rPr>
        <w:t>2,5</w:t>
      </w:r>
      <w:r w:rsidRPr="00FB4003">
        <w:rPr>
          <w:rFonts w:ascii="Tahoma" w:hAnsi="Tahoma" w:cs="Tahoma"/>
          <w:sz w:val="22"/>
          <w:szCs w:val="22"/>
        </w:rPr>
        <w:t>, Dai-Wei Hu</w:t>
      </w:r>
      <w:r w:rsidRPr="00FB4003">
        <w:rPr>
          <w:rFonts w:ascii="Tahoma" w:hAnsi="Tahoma" w:cs="Tahoma"/>
          <w:sz w:val="22"/>
          <w:szCs w:val="22"/>
          <w:vertAlign w:val="superscript"/>
        </w:rPr>
        <w:t>1,2</w:t>
      </w:r>
      <w:r w:rsidRPr="00FB4003">
        <w:rPr>
          <w:rFonts w:ascii="Tahoma" w:hAnsi="Tahoma" w:cs="Tahoma"/>
          <w:sz w:val="22"/>
          <w:szCs w:val="22"/>
        </w:rPr>
        <w:t xml:space="preserve">, </w:t>
      </w:r>
      <w:proofErr w:type="spellStart"/>
      <w:r w:rsidRPr="00FB4003">
        <w:rPr>
          <w:rFonts w:ascii="Tahoma" w:hAnsi="Tahoma" w:cs="Tahoma"/>
          <w:sz w:val="22"/>
          <w:szCs w:val="22"/>
        </w:rPr>
        <w:t>Ya</w:t>
      </w:r>
      <w:proofErr w:type="spellEnd"/>
      <w:r w:rsidRPr="00FB4003">
        <w:rPr>
          <w:rFonts w:ascii="Tahoma" w:hAnsi="Tahoma" w:cs="Tahoma"/>
          <w:sz w:val="22"/>
          <w:szCs w:val="22"/>
        </w:rPr>
        <w:t>-Ling Wei</w:t>
      </w:r>
      <w:r w:rsidRPr="00FB4003">
        <w:rPr>
          <w:rFonts w:ascii="Tahoma" w:hAnsi="Tahoma" w:cs="Tahoma"/>
          <w:sz w:val="22"/>
          <w:szCs w:val="22"/>
          <w:vertAlign w:val="superscript"/>
        </w:rPr>
        <w:t>1,2</w:t>
      </w:r>
      <w:r w:rsidRPr="00FB4003">
        <w:rPr>
          <w:rFonts w:ascii="Tahoma" w:hAnsi="Tahoma" w:cs="Tahoma"/>
          <w:sz w:val="22"/>
          <w:szCs w:val="22"/>
        </w:rPr>
        <w:t>, Fang-Ju Cheng</w:t>
      </w:r>
      <w:r w:rsidRPr="00FB4003">
        <w:rPr>
          <w:rFonts w:ascii="Tahoma" w:hAnsi="Tahoma" w:cs="Tahoma"/>
          <w:sz w:val="22"/>
          <w:szCs w:val="22"/>
          <w:vertAlign w:val="superscript"/>
        </w:rPr>
        <w:t>2,6</w:t>
      </w:r>
      <w:r w:rsidRPr="00FB4003">
        <w:rPr>
          <w:rFonts w:ascii="Tahoma" w:hAnsi="Tahoma" w:cs="Tahoma"/>
          <w:sz w:val="22"/>
          <w:szCs w:val="22"/>
        </w:rPr>
        <w:t xml:space="preserve">, Thanh </w:t>
      </w:r>
      <w:proofErr w:type="spellStart"/>
      <w:r w:rsidRPr="00FB4003">
        <w:rPr>
          <w:rFonts w:ascii="Tahoma" w:hAnsi="Tahoma" w:cs="Tahoma"/>
          <w:sz w:val="22"/>
          <w:szCs w:val="22"/>
        </w:rPr>
        <w:t>Kieu</w:t>
      </w:r>
      <w:proofErr w:type="spellEnd"/>
      <w:r w:rsidRPr="00FB4003">
        <w:rPr>
          <w:rFonts w:ascii="Tahoma" w:hAnsi="Tahoma" w:cs="Tahoma"/>
          <w:sz w:val="22"/>
          <w:szCs w:val="22"/>
        </w:rPr>
        <w:t xml:space="preserve"> Huynh</w:t>
      </w:r>
      <w:r w:rsidRPr="00FB4003">
        <w:rPr>
          <w:rFonts w:ascii="Tahoma" w:hAnsi="Tahoma" w:cs="Tahoma"/>
          <w:sz w:val="22"/>
          <w:szCs w:val="22"/>
          <w:vertAlign w:val="superscript"/>
        </w:rPr>
        <w:t>1,2</w:t>
      </w:r>
      <w:r w:rsidRPr="00FB4003">
        <w:rPr>
          <w:rFonts w:ascii="Tahoma" w:hAnsi="Tahoma" w:cs="Tahoma"/>
          <w:sz w:val="22"/>
          <w:szCs w:val="22"/>
        </w:rPr>
        <w:t>, Bo-Rong Chen</w:t>
      </w:r>
      <w:r w:rsidRPr="00FB4003">
        <w:rPr>
          <w:rFonts w:ascii="Tahoma" w:hAnsi="Tahoma" w:cs="Tahoma"/>
          <w:sz w:val="22"/>
          <w:szCs w:val="22"/>
          <w:vertAlign w:val="superscript"/>
        </w:rPr>
        <w:t>1,2,6</w:t>
      </w:r>
      <w:r w:rsidRPr="00FB4003">
        <w:rPr>
          <w:rFonts w:ascii="Tahoma" w:hAnsi="Tahoma" w:cs="Tahoma"/>
          <w:sz w:val="22"/>
          <w:szCs w:val="22"/>
        </w:rPr>
        <w:t>, Yi-</w:t>
      </w:r>
      <w:proofErr w:type="spellStart"/>
      <w:r w:rsidRPr="00FB4003">
        <w:rPr>
          <w:rFonts w:ascii="Tahoma" w:hAnsi="Tahoma" w:cs="Tahoma"/>
          <w:sz w:val="22"/>
          <w:szCs w:val="22"/>
        </w:rPr>
        <w:t>Lun</w:t>
      </w:r>
      <w:proofErr w:type="spellEnd"/>
      <w:r w:rsidRPr="00FB4003">
        <w:rPr>
          <w:rFonts w:ascii="Tahoma" w:hAnsi="Tahoma" w:cs="Tahoma"/>
          <w:sz w:val="22"/>
          <w:szCs w:val="22"/>
        </w:rPr>
        <w:t xml:space="preserve"> Yeh</w:t>
      </w:r>
      <w:r w:rsidRPr="00FB4003">
        <w:rPr>
          <w:rFonts w:ascii="Tahoma" w:hAnsi="Tahoma" w:cs="Tahoma"/>
          <w:sz w:val="22"/>
          <w:szCs w:val="22"/>
          <w:vertAlign w:val="superscript"/>
        </w:rPr>
        <w:t>1,2</w:t>
      </w:r>
      <w:r w:rsidRPr="00FB4003">
        <w:rPr>
          <w:rFonts w:ascii="Tahoma" w:hAnsi="Tahoma" w:cs="Tahoma"/>
          <w:sz w:val="22"/>
          <w:szCs w:val="22"/>
        </w:rPr>
        <w:t>, Bo-Wei Wang</w:t>
      </w:r>
      <w:r w:rsidRPr="00FB4003">
        <w:rPr>
          <w:rFonts w:ascii="Tahoma" w:hAnsi="Tahoma" w:cs="Tahoma"/>
          <w:sz w:val="22"/>
          <w:szCs w:val="22"/>
          <w:vertAlign w:val="superscript"/>
        </w:rPr>
        <w:t>1,2</w:t>
      </w:r>
      <w:r w:rsidRPr="00FB4003">
        <w:rPr>
          <w:rFonts w:ascii="Tahoma" w:hAnsi="Tahoma" w:cs="Tahoma"/>
          <w:sz w:val="22"/>
          <w:szCs w:val="22"/>
        </w:rPr>
        <w:t>, Der-Yen Lee</w:t>
      </w:r>
      <w:r w:rsidRPr="00FB4003">
        <w:rPr>
          <w:rFonts w:ascii="Tahoma" w:hAnsi="Tahoma" w:cs="Tahoma"/>
          <w:sz w:val="22"/>
          <w:szCs w:val="22"/>
          <w:vertAlign w:val="superscript"/>
        </w:rPr>
        <w:t>7</w:t>
      </w:r>
      <w:r w:rsidRPr="00FB4003">
        <w:rPr>
          <w:rFonts w:ascii="Tahoma" w:hAnsi="Tahoma" w:cs="Tahoma"/>
          <w:sz w:val="22"/>
          <w:szCs w:val="22"/>
        </w:rPr>
        <w:t>, Mei-Chun Lin</w:t>
      </w:r>
      <w:r w:rsidRPr="00FB4003">
        <w:rPr>
          <w:rFonts w:ascii="Tahoma" w:hAnsi="Tahoma" w:cs="Tahoma"/>
          <w:sz w:val="22"/>
          <w:szCs w:val="22"/>
          <w:vertAlign w:val="superscript"/>
        </w:rPr>
        <w:t>3</w:t>
      </w:r>
      <w:r w:rsidRPr="00FB4003">
        <w:rPr>
          <w:rFonts w:ascii="Tahoma" w:hAnsi="Tahoma" w:cs="Tahoma"/>
          <w:sz w:val="22"/>
          <w:szCs w:val="22"/>
        </w:rPr>
        <w:t>, Yi-Hsien Hsieh</w:t>
      </w:r>
      <w:r w:rsidRPr="00FB4003">
        <w:rPr>
          <w:rFonts w:ascii="Tahoma" w:hAnsi="Tahoma" w:cs="Tahoma"/>
          <w:sz w:val="22"/>
          <w:szCs w:val="22"/>
          <w:vertAlign w:val="superscript"/>
        </w:rPr>
        <w:t>8,9</w:t>
      </w:r>
      <w:r w:rsidRPr="00FB4003">
        <w:rPr>
          <w:rFonts w:ascii="Tahoma" w:hAnsi="Tahoma" w:cs="Tahoma"/>
          <w:sz w:val="22"/>
          <w:szCs w:val="22"/>
        </w:rPr>
        <w:t>, Yuan-Man Hsu</w:t>
      </w:r>
      <w:r w:rsidRPr="00FB4003">
        <w:rPr>
          <w:rFonts w:ascii="Tahoma" w:hAnsi="Tahoma" w:cs="Tahoma"/>
          <w:sz w:val="22"/>
          <w:szCs w:val="22"/>
          <w:vertAlign w:val="superscript"/>
        </w:rPr>
        <w:t>10</w:t>
      </w:r>
      <w:r w:rsidRPr="00FB4003">
        <w:rPr>
          <w:rFonts w:ascii="Tahoma" w:hAnsi="Tahoma" w:cs="Tahoma"/>
          <w:sz w:val="22"/>
          <w:szCs w:val="22"/>
        </w:rPr>
        <w:t xml:space="preserve">, </w:t>
      </w:r>
      <w:proofErr w:type="spellStart"/>
      <w:r w:rsidRPr="00FB4003">
        <w:rPr>
          <w:rFonts w:ascii="Tahoma" w:hAnsi="Tahoma" w:cs="Tahoma"/>
          <w:sz w:val="22"/>
          <w:szCs w:val="22"/>
        </w:rPr>
        <w:t>Chih-Hsin</w:t>
      </w:r>
      <w:proofErr w:type="spellEnd"/>
      <w:r w:rsidRPr="00FB4003">
        <w:rPr>
          <w:rFonts w:ascii="Tahoma" w:hAnsi="Tahoma" w:cs="Tahoma"/>
          <w:sz w:val="22"/>
          <w:szCs w:val="22"/>
        </w:rPr>
        <w:t xml:space="preserve"> Tang</w:t>
      </w:r>
      <w:r w:rsidRPr="00FB4003">
        <w:rPr>
          <w:rFonts w:ascii="Tahoma" w:hAnsi="Tahoma" w:cs="Tahoma"/>
          <w:sz w:val="22"/>
          <w:szCs w:val="22"/>
          <w:vertAlign w:val="superscript"/>
        </w:rPr>
        <w:t>1,6,11,12</w:t>
      </w:r>
      <w:r w:rsidRPr="00FB4003">
        <w:rPr>
          <w:rFonts w:ascii="Tahoma" w:hAnsi="Tahoma" w:cs="Tahoma"/>
          <w:sz w:val="22"/>
          <w:szCs w:val="22"/>
        </w:rPr>
        <w:t>, and Wei-</w:t>
      </w:r>
      <w:proofErr w:type="spellStart"/>
      <w:r w:rsidRPr="00FB4003">
        <w:rPr>
          <w:rFonts w:ascii="Tahoma" w:hAnsi="Tahoma" w:cs="Tahoma"/>
          <w:sz w:val="22"/>
          <w:szCs w:val="22"/>
        </w:rPr>
        <w:t>Chien</w:t>
      </w:r>
      <w:proofErr w:type="spellEnd"/>
      <w:r w:rsidRPr="00FB4003">
        <w:rPr>
          <w:rFonts w:ascii="Tahoma" w:hAnsi="Tahoma" w:cs="Tahoma"/>
          <w:sz w:val="22"/>
          <w:szCs w:val="22"/>
        </w:rPr>
        <w:t xml:space="preserve"> Huang</w:t>
      </w:r>
      <w:r w:rsidRPr="00FB4003">
        <w:rPr>
          <w:rFonts w:ascii="Tahoma" w:hAnsi="Tahoma" w:cs="Tahoma"/>
          <w:sz w:val="22"/>
          <w:szCs w:val="22"/>
          <w:vertAlign w:val="superscript"/>
        </w:rPr>
        <w:t>1,2,12,13,14,†</w:t>
      </w:r>
    </w:p>
    <w:p w14:paraId="7AD3322D" w14:textId="77777777" w:rsidR="00FB4003" w:rsidRPr="00FB4003" w:rsidRDefault="00FB4003" w:rsidP="00FB4003">
      <w:pPr>
        <w:pStyle w:val="Teaser"/>
        <w:spacing w:line="360" w:lineRule="exact"/>
        <w:jc w:val="both"/>
        <w:rPr>
          <w:rFonts w:ascii="Tahoma" w:hAnsi="Tahoma" w:cs="Tahoma"/>
          <w:b/>
          <w:sz w:val="22"/>
          <w:szCs w:val="22"/>
        </w:rPr>
      </w:pPr>
    </w:p>
    <w:p w14:paraId="1338D8F8"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1</w:t>
      </w:r>
      <w:r w:rsidRPr="00FB4003">
        <w:rPr>
          <w:rFonts w:ascii="Tahoma" w:eastAsia="Times New Roman" w:hAnsi="Tahoma" w:cs="Tahoma"/>
          <w:sz w:val="22"/>
          <w:szCs w:val="22"/>
        </w:rPr>
        <w:t xml:space="preserve"> Graduate Institute of Biomedical Sciences, China Medical University, Taichung 407, Taiwan</w:t>
      </w:r>
    </w:p>
    <w:p w14:paraId="06E855DF"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2</w:t>
      </w:r>
      <w:r w:rsidRPr="00FB4003">
        <w:rPr>
          <w:rFonts w:ascii="Tahoma" w:eastAsia="Times New Roman" w:hAnsi="Tahoma" w:cs="Tahoma"/>
          <w:sz w:val="22"/>
          <w:szCs w:val="22"/>
        </w:rPr>
        <w:t xml:space="preserve"> Center for Molecular Medicine, China Medical University Hospital, Taichung 407, Taiwan</w:t>
      </w:r>
    </w:p>
    <w:p w14:paraId="1A331332"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 xml:space="preserve">3 </w:t>
      </w:r>
      <w:r w:rsidRPr="00FB4003">
        <w:rPr>
          <w:rFonts w:ascii="Tahoma" w:eastAsia="Times New Roman" w:hAnsi="Tahoma" w:cs="Tahoma"/>
          <w:sz w:val="22"/>
          <w:szCs w:val="22"/>
        </w:rPr>
        <w:t>Department of Surgery, Chung Shan Medical University Hospital, Taichung 402, Taiwan</w:t>
      </w:r>
    </w:p>
    <w:p w14:paraId="34742E12"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4</w:t>
      </w:r>
      <w:r w:rsidRPr="00FB4003">
        <w:rPr>
          <w:rFonts w:ascii="Tahoma" w:eastAsia="Times New Roman" w:hAnsi="Tahoma" w:cs="Tahoma"/>
          <w:sz w:val="22"/>
          <w:szCs w:val="22"/>
        </w:rPr>
        <w:t xml:space="preserve"> Institute of Medicine, School of Medicine, Chung Shan Medical University, Taichung 402, Taiwan</w:t>
      </w:r>
    </w:p>
    <w:p w14:paraId="68183843"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5</w:t>
      </w:r>
      <w:r w:rsidRPr="00FB4003">
        <w:rPr>
          <w:rFonts w:ascii="Tahoma" w:eastAsia="Times New Roman" w:hAnsi="Tahoma" w:cs="Tahoma"/>
          <w:sz w:val="22"/>
          <w:szCs w:val="22"/>
        </w:rPr>
        <w:t xml:space="preserve"> Department of Biomedical Imaging and Radiological Science, China Medical University, Taichung 404, Taiwan</w:t>
      </w:r>
    </w:p>
    <w:p w14:paraId="04334660"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6</w:t>
      </w:r>
      <w:r w:rsidRPr="00FB4003">
        <w:rPr>
          <w:rFonts w:ascii="Tahoma" w:eastAsia="Times New Roman" w:hAnsi="Tahoma" w:cs="Tahoma"/>
          <w:sz w:val="22"/>
          <w:szCs w:val="22"/>
        </w:rPr>
        <w:t xml:space="preserve"> School of Medicine, China Medical University Taichung 404, Taiwan</w:t>
      </w:r>
    </w:p>
    <w:p w14:paraId="3E1F70CB"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7</w:t>
      </w:r>
      <w:r w:rsidRPr="00FB4003">
        <w:rPr>
          <w:rFonts w:ascii="Tahoma" w:eastAsia="Times New Roman" w:hAnsi="Tahoma" w:cs="Tahoma"/>
          <w:sz w:val="22"/>
          <w:szCs w:val="22"/>
        </w:rPr>
        <w:t xml:space="preserve"> Institute of Integrated Medicine, China Medical University, 404, Taiwan</w:t>
      </w:r>
    </w:p>
    <w:p w14:paraId="5737041F"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 xml:space="preserve">8 </w:t>
      </w:r>
      <w:r w:rsidRPr="00FB4003">
        <w:rPr>
          <w:rFonts w:ascii="Tahoma" w:eastAsia="Times New Roman" w:hAnsi="Tahoma" w:cs="Tahoma"/>
          <w:sz w:val="22"/>
          <w:szCs w:val="22"/>
        </w:rPr>
        <w:t>Institute of Medicine, Chung Shan Medical University, Taichung 402, Taiwan</w:t>
      </w:r>
    </w:p>
    <w:p w14:paraId="74A5F412"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9</w:t>
      </w:r>
      <w:r w:rsidRPr="00FB4003">
        <w:rPr>
          <w:rFonts w:ascii="Tahoma" w:eastAsia="Times New Roman" w:hAnsi="Tahoma" w:cs="Tahoma"/>
          <w:sz w:val="22"/>
          <w:szCs w:val="22"/>
        </w:rPr>
        <w:t>Department of Medical Research, Chung Shan Medical University Hospital, Taichung 402, Taiwan</w:t>
      </w:r>
    </w:p>
    <w:p w14:paraId="1D915C70"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10</w:t>
      </w:r>
      <w:r w:rsidRPr="00FB4003">
        <w:rPr>
          <w:rFonts w:ascii="Tahoma" w:eastAsia="Times New Roman" w:hAnsi="Tahoma" w:cs="Tahoma"/>
          <w:sz w:val="22"/>
          <w:szCs w:val="22"/>
        </w:rPr>
        <w:t xml:space="preserve">Department of Animal Science and Biotechnology, </w:t>
      </w:r>
      <w:proofErr w:type="spellStart"/>
      <w:r w:rsidRPr="00FB4003">
        <w:rPr>
          <w:rFonts w:ascii="Tahoma" w:eastAsia="Times New Roman" w:hAnsi="Tahoma" w:cs="Tahoma"/>
          <w:sz w:val="22"/>
          <w:szCs w:val="22"/>
        </w:rPr>
        <w:t>Tunghai</w:t>
      </w:r>
      <w:proofErr w:type="spellEnd"/>
      <w:r w:rsidRPr="00FB4003">
        <w:rPr>
          <w:rFonts w:ascii="Tahoma" w:eastAsia="Times New Roman" w:hAnsi="Tahoma" w:cs="Tahoma"/>
          <w:sz w:val="22"/>
          <w:szCs w:val="22"/>
        </w:rPr>
        <w:t xml:space="preserve"> University, Taichung 407, Taiwan</w:t>
      </w:r>
    </w:p>
    <w:p w14:paraId="6C93FEF0"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11</w:t>
      </w:r>
      <w:r w:rsidRPr="00FB4003">
        <w:rPr>
          <w:rFonts w:ascii="Tahoma" w:eastAsia="Times New Roman" w:hAnsi="Tahoma" w:cs="Tahoma"/>
          <w:sz w:val="22"/>
          <w:szCs w:val="22"/>
        </w:rPr>
        <w:t>Chinese Medicine Research Center, China Medical University, Taichung 40402, Taiwan</w:t>
      </w:r>
    </w:p>
    <w:p w14:paraId="04A83D9E"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12</w:t>
      </w:r>
      <w:r w:rsidRPr="00FB4003">
        <w:rPr>
          <w:rFonts w:ascii="Tahoma" w:eastAsia="Times New Roman" w:hAnsi="Tahoma" w:cs="Tahoma"/>
          <w:sz w:val="22"/>
          <w:szCs w:val="22"/>
        </w:rPr>
        <w:t>Department of Medical Research, China Medical University Hsinchu Hospital, Hsinchu 302, Taiwan</w:t>
      </w:r>
    </w:p>
    <w:p w14:paraId="455096C3" w14:textId="77777777" w:rsidR="00FB4003" w:rsidRPr="00FB4003" w:rsidRDefault="00FB4003" w:rsidP="00FB4003">
      <w:pPr>
        <w:adjustRightInd w:val="0"/>
        <w:snapToGrid w:val="0"/>
        <w:spacing w:line="360" w:lineRule="exact"/>
        <w:jc w:val="both"/>
        <w:rPr>
          <w:rFonts w:ascii="Tahoma" w:eastAsia="Times New Roman" w:hAnsi="Tahoma" w:cs="Tahoma"/>
          <w:sz w:val="22"/>
          <w:szCs w:val="22"/>
        </w:rPr>
      </w:pPr>
      <w:r w:rsidRPr="00FB4003">
        <w:rPr>
          <w:rFonts w:ascii="Tahoma" w:eastAsia="Times New Roman" w:hAnsi="Tahoma" w:cs="Tahoma"/>
          <w:sz w:val="22"/>
          <w:szCs w:val="22"/>
          <w:vertAlign w:val="superscript"/>
        </w:rPr>
        <w:t>13</w:t>
      </w:r>
      <w:r w:rsidRPr="00FB4003">
        <w:rPr>
          <w:rFonts w:ascii="Tahoma" w:eastAsia="Times New Roman" w:hAnsi="Tahoma" w:cs="Tahoma"/>
          <w:sz w:val="22"/>
          <w:szCs w:val="22"/>
        </w:rPr>
        <w:t xml:space="preserve"> Department of Medical Laboratory Science and Biotechnology, Asia University, Taichung 413, Taiwan</w:t>
      </w:r>
    </w:p>
    <w:p w14:paraId="22BF6BD7" w14:textId="3FB491CE" w:rsidR="00A55E9C" w:rsidRPr="00FB4003" w:rsidRDefault="00FB4003" w:rsidP="00FB4003">
      <w:pPr>
        <w:spacing w:line="360" w:lineRule="exact"/>
        <w:rPr>
          <w:rFonts w:ascii="Tahoma" w:eastAsia="標楷體" w:hAnsi="Tahoma" w:cs="Tahoma"/>
          <w:sz w:val="21"/>
          <w:szCs w:val="21"/>
        </w:rPr>
      </w:pPr>
      <w:r w:rsidRPr="00FB4003">
        <w:rPr>
          <w:rFonts w:ascii="Tahoma" w:eastAsia="Times New Roman" w:hAnsi="Tahoma" w:cs="Tahoma"/>
          <w:sz w:val="22"/>
          <w:szCs w:val="22"/>
          <w:vertAlign w:val="superscript"/>
        </w:rPr>
        <w:t xml:space="preserve">14 </w:t>
      </w:r>
      <w:r w:rsidRPr="00FB4003">
        <w:rPr>
          <w:rFonts w:ascii="Tahoma" w:eastAsia="Times New Roman" w:hAnsi="Tahoma" w:cs="Tahoma"/>
          <w:sz w:val="22"/>
          <w:szCs w:val="22"/>
        </w:rPr>
        <w:t>Cancer Biology and Precision Therapeutics Center, China Medical University, Taichung 407, Taiwan</w:t>
      </w:r>
    </w:p>
    <w:p w14:paraId="2498E6FB" w14:textId="77777777" w:rsidR="00A55E9C" w:rsidRPr="007E6E90" w:rsidRDefault="00A55E9C" w:rsidP="00C44E7C">
      <w:pPr>
        <w:spacing w:line="360" w:lineRule="exact"/>
        <w:rPr>
          <w:rFonts w:ascii="Tahoma" w:eastAsia="標楷體" w:hAnsi="Tahoma" w:cs="Tahoma"/>
          <w:sz w:val="28"/>
          <w:szCs w:val="28"/>
        </w:rPr>
      </w:pPr>
    </w:p>
    <w:p w14:paraId="18E1F6CA" w14:textId="77777777" w:rsidR="00A55E9C" w:rsidRPr="00C44E7C" w:rsidRDefault="00A55E9C" w:rsidP="00C44E7C">
      <w:pPr>
        <w:spacing w:line="360" w:lineRule="exact"/>
        <w:jc w:val="both"/>
        <w:rPr>
          <w:rFonts w:ascii="Tahoma" w:eastAsia="細明體" w:hAnsi="Tahoma" w:cs="Tahoma"/>
          <w:b/>
          <w:bCs/>
          <w:kern w:val="0"/>
          <w:sz w:val="22"/>
          <w:szCs w:val="22"/>
        </w:rPr>
      </w:pPr>
      <w:r w:rsidRPr="00C44E7C">
        <w:rPr>
          <w:rFonts w:ascii="Tahoma" w:eastAsia="細明體" w:hAnsi="Tahoma" w:cs="Tahoma"/>
          <w:b/>
          <w:bCs/>
          <w:kern w:val="0"/>
          <w:sz w:val="22"/>
          <w:szCs w:val="22"/>
        </w:rPr>
        <w:t>Purpose</w:t>
      </w:r>
    </w:p>
    <w:p w14:paraId="4237555C" w14:textId="5769D370" w:rsidR="00A55E9C" w:rsidRPr="007E6E90" w:rsidRDefault="00FB4003" w:rsidP="00C44E7C">
      <w:pPr>
        <w:autoSpaceDE w:val="0"/>
        <w:autoSpaceDN w:val="0"/>
        <w:adjustRightInd w:val="0"/>
        <w:spacing w:line="360" w:lineRule="exact"/>
        <w:jc w:val="both"/>
        <w:rPr>
          <w:rFonts w:ascii="Tahoma" w:hAnsi="Tahoma" w:cs="Tahoma"/>
          <w:color w:val="231F20"/>
          <w:kern w:val="0"/>
          <w:sz w:val="22"/>
          <w:szCs w:val="22"/>
        </w:rPr>
      </w:pPr>
      <w:r w:rsidRPr="00FB4003">
        <w:rPr>
          <w:rFonts w:ascii="Tahoma" w:eastAsia="Univers" w:hAnsi="Tahoma" w:cs="Tahoma"/>
          <w:color w:val="231F20"/>
          <w:kern w:val="0"/>
          <w:sz w:val="22"/>
          <w:szCs w:val="22"/>
        </w:rPr>
        <w:t>Breast cancer patients diagnosed at the age under 45 years old commonly show poor prognosis and survival rate. Breast tumors from young patients showed higher FOXP3</w:t>
      </w:r>
      <w:r w:rsidRPr="00FB4003">
        <w:rPr>
          <w:rFonts w:ascii="Tahoma" w:eastAsia="Univers" w:hAnsi="Tahoma" w:cs="Tahoma"/>
          <w:color w:val="231F20"/>
          <w:kern w:val="0"/>
          <w:sz w:val="22"/>
          <w:szCs w:val="22"/>
          <w:vertAlign w:val="superscript"/>
        </w:rPr>
        <w:t>+</w:t>
      </w:r>
      <w:r w:rsidRPr="00FB4003">
        <w:rPr>
          <w:rFonts w:ascii="Tahoma" w:eastAsia="Univers" w:hAnsi="Tahoma" w:cs="Tahoma"/>
          <w:color w:val="231F20"/>
          <w:kern w:val="0"/>
          <w:sz w:val="22"/>
          <w:szCs w:val="22"/>
        </w:rPr>
        <w:t xml:space="preserve"> tumor-infiltrating lymphocytes (TILs), suggesting a role of dysregulation of immune surveillance in the tumorigenesis of early-onset breast cancer (EOBC). Exposure to plasticizers is one of the potential risk factors of EOBC. The impact of plasticizer exposure on the immune dysregulation for the early onset of breast cancers and the underlying mechanisms are unclear.</w:t>
      </w:r>
    </w:p>
    <w:p w14:paraId="5FD27E31" w14:textId="77777777" w:rsidR="00A55E9C" w:rsidRPr="007E6E90" w:rsidRDefault="00A55E9C" w:rsidP="00C44E7C">
      <w:pPr>
        <w:autoSpaceDE w:val="0"/>
        <w:autoSpaceDN w:val="0"/>
        <w:adjustRightInd w:val="0"/>
        <w:spacing w:line="360" w:lineRule="exact"/>
        <w:jc w:val="both"/>
        <w:rPr>
          <w:rFonts w:ascii="Tahoma" w:hAnsi="Tahoma" w:cs="Tahoma"/>
          <w:color w:val="231F20"/>
          <w:kern w:val="0"/>
          <w:sz w:val="28"/>
          <w:szCs w:val="28"/>
        </w:rPr>
      </w:pPr>
    </w:p>
    <w:p w14:paraId="293FFA7D" w14:textId="77777777" w:rsidR="00A55E9C" w:rsidRPr="00C44E7C" w:rsidRDefault="00A55E9C" w:rsidP="00C44E7C">
      <w:pPr>
        <w:autoSpaceDE w:val="0"/>
        <w:autoSpaceDN w:val="0"/>
        <w:adjustRightInd w:val="0"/>
        <w:spacing w:line="360" w:lineRule="exact"/>
        <w:jc w:val="both"/>
        <w:rPr>
          <w:rFonts w:ascii="Tahoma" w:eastAsia="細明體" w:hAnsi="Tahoma" w:cs="Tahoma"/>
          <w:b/>
          <w:bCs/>
          <w:kern w:val="0"/>
          <w:sz w:val="22"/>
          <w:szCs w:val="22"/>
        </w:rPr>
      </w:pPr>
      <w:r w:rsidRPr="00C44E7C">
        <w:rPr>
          <w:rFonts w:ascii="Tahoma" w:eastAsia="細明體" w:hAnsi="Tahoma" w:cs="Tahoma"/>
          <w:b/>
          <w:bCs/>
          <w:kern w:val="0"/>
          <w:sz w:val="22"/>
          <w:szCs w:val="22"/>
        </w:rPr>
        <w:t>Materials and Methods</w:t>
      </w:r>
    </w:p>
    <w:p w14:paraId="16795B57" w14:textId="268A55C8" w:rsidR="00A55E9C" w:rsidRPr="007E6E90" w:rsidRDefault="008C7663" w:rsidP="00C44E7C">
      <w:pPr>
        <w:autoSpaceDE w:val="0"/>
        <w:autoSpaceDN w:val="0"/>
        <w:adjustRightInd w:val="0"/>
        <w:spacing w:line="360" w:lineRule="exact"/>
        <w:jc w:val="both"/>
        <w:rPr>
          <w:rFonts w:ascii="Tahoma" w:hAnsi="Tahoma" w:cs="Tahoma"/>
          <w:color w:val="231F20"/>
          <w:kern w:val="0"/>
          <w:sz w:val="22"/>
          <w:szCs w:val="22"/>
        </w:rPr>
      </w:pPr>
      <w:r w:rsidRPr="008C7663">
        <w:rPr>
          <w:rFonts w:ascii="Tahoma" w:eastAsia="Univers" w:hAnsi="Tahoma" w:cs="Tahoma"/>
          <w:color w:val="231F20"/>
          <w:kern w:val="0"/>
          <w:sz w:val="22"/>
          <w:szCs w:val="22"/>
        </w:rPr>
        <w:t>The hair level of DEHP, the most common phthalate plasticizer detectable in human bodies, was measured in GC/Mass analysis, and the levels of immune checkpoint proteins and TILs in human breast tumor tissues were detected in immunohistochemical staining (IHC) analysis. The effects of DEHP on relevant protein expressions in breast epithelial and cancer cells were tested in western blot and flow cytometry analyses. L1000 fireworks display, a transcriptomic signature-based platform, was used to identify potential therapeutic agents against DEHP-exposed cancers. The roles of plasticizers in regulating the expressions of various immune checkpoints, cyclin/CDK pathways, and the cytotoxic activity of T cells were studied using both in vitro cell line models and in vivo mice models. The involved transcription factors and signaling pathways were identified by using various molecular biological analyses</w:t>
      </w:r>
      <w:r w:rsidR="00A55E9C" w:rsidRPr="007E6E90">
        <w:rPr>
          <w:rFonts w:ascii="Tahoma" w:eastAsia="Univers" w:hAnsi="Tahoma" w:cs="Tahoma"/>
          <w:color w:val="231F20"/>
          <w:kern w:val="0"/>
          <w:sz w:val="22"/>
          <w:szCs w:val="22"/>
        </w:rPr>
        <w:t>.</w:t>
      </w:r>
    </w:p>
    <w:p w14:paraId="48B1C87C" w14:textId="77777777" w:rsidR="00A55E9C" w:rsidRPr="007E6E90" w:rsidRDefault="00A55E9C" w:rsidP="00C44E7C">
      <w:pPr>
        <w:autoSpaceDE w:val="0"/>
        <w:autoSpaceDN w:val="0"/>
        <w:adjustRightInd w:val="0"/>
        <w:spacing w:line="360" w:lineRule="exact"/>
        <w:jc w:val="both"/>
        <w:rPr>
          <w:rFonts w:ascii="Tahoma" w:hAnsi="Tahoma" w:cs="Tahoma"/>
          <w:color w:val="231F20"/>
          <w:kern w:val="0"/>
          <w:sz w:val="28"/>
          <w:szCs w:val="28"/>
        </w:rPr>
      </w:pPr>
    </w:p>
    <w:p w14:paraId="67651982" w14:textId="77777777" w:rsidR="00A55E9C" w:rsidRPr="00C44E7C" w:rsidRDefault="00A55E9C" w:rsidP="00C44E7C">
      <w:pPr>
        <w:autoSpaceDE w:val="0"/>
        <w:autoSpaceDN w:val="0"/>
        <w:adjustRightInd w:val="0"/>
        <w:spacing w:line="360" w:lineRule="exact"/>
        <w:jc w:val="both"/>
        <w:rPr>
          <w:rFonts w:ascii="Tahoma" w:eastAsia="細明體" w:hAnsi="Tahoma" w:cs="Tahoma"/>
          <w:b/>
          <w:bCs/>
          <w:kern w:val="0"/>
          <w:sz w:val="22"/>
          <w:szCs w:val="22"/>
        </w:rPr>
      </w:pPr>
      <w:r w:rsidRPr="00C44E7C">
        <w:rPr>
          <w:rFonts w:ascii="Tahoma" w:eastAsia="細明體" w:hAnsi="Tahoma" w:cs="Tahoma"/>
          <w:b/>
          <w:bCs/>
          <w:kern w:val="0"/>
          <w:sz w:val="22"/>
          <w:szCs w:val="22"/>
        </w:rPr>
        <w:lastRenderedPageBreak/>
        <w:t>Results</w:t>
      </w:r>
    </w:p>
    <w:p w14:paraId="2C906F9D" w14:textId="2E9CC913" w:rsidR="00A55E9C" w:rsidRPr="008C7663" w:rsidRDefault="008C7663" w:rsidP="008C7663">
      <w:pPr>
        <w:autoSpaceDE w:val="0"/>
        <w:autoSpaceDN w:val="0"/>
        <w:adjustRightInd w:val="0"/>
        <w:spacing w:line="360" w:lineRule="exact"/>
        <w:jc w:val="both"/>
        <w:rPr>
          <w:rFonts w:ascii="Tahoma" w:eastAsia="Univers" w:hAnsi="Tahoma" w:cs="Tahoma"/>
          <w:color w:val="231F20"/>
          <w:kern w:val="0"/>
          <w:sz w:val="22"/>
          <w:szCs w:val="22"/>
        </w:rPr>
      </w:pPr>
      <w:r w:rsidRPr="008C7663">
        <w:rPr>
          <w:rFonts w:ascii="Tahoma" w:eastAsia="Univers" w:hAnsi="Tahoma" w:cs="Tahoma"/>
          <w:color w:val="231F20"/>
          <w:kern w:val="0"/>
          <w:sz w:val="22"/>
          <w:szCs w:val="22"/>
        </w:rPr>
        <w:t>The hair level of DEHP was higher in EOBC patients and positively correlated with the levels of PD-L1 and ER</w:t>
      </w:r>
      <w:r>
        <w:rPr>
          <w:rFonts w:ascii="Tahoma" w:eastAsia="Univers" w:hAnsi="Tahoma" w:cs="Tahoma"/>
          <w:color w:val="231F20"/>
          <w:kern w:val="0"/>
          <w:sz w:val="22"/>
          <w:szCs w:val="22"/>
        </w:rPr>
        <w:sym w:font="Symbol" w:char="F062"/>
      </w:r>
      <w:r w:rsidRPr="008C7663">
        <w:rPr>
          <w:rFonts w:ascii="Tahoma" w:eastAsia="Univers" w:hAnsi="Tahoma" w:cs="Tahoma"/>
          <w:color w:val="231F20"/>
          <w:kern w:val="0"/>
          <w:sz w:val="22"/>
          <w:szCs w:val="22"/>
        </w:rPr>
        <w:t xml:space="preserve"> expressions but negatively correlated with the tumor infiltration of activated T cells. In mouse models, treatments with DEHP accelerated</w:t>
      </w:r>
      <w:r>
        <w:rPr>
          <w:rFonts w:ascii="Tahoma" w:eastAsia="Univers" w:hAnsi="Tahoma" w:cs="Tahoma" w:hint="eastAsia"/>
          <w:color w:val="231F20"/>
          <w:kern w:val="0"/>
          <w:sz w:val="22"/>
          <w:szCs w:val="22"/>
        </w:rPr>
        <w:t xml:space="preserve"> </w:t>
      </w:r>
      <w:r w:rsidRPr="008C7663">
        <w:rPr>
          <w:rFonts w:ascii="Tahoma" w:eastAsia="Univers" w:hAnsi="Tahoma" w:cs="Tahoma"/>
          <w:color w:val="231F20"/>
          <w:kern w:val="0"/>
          <w:sz w:val="22"/>
          <w:szCs w:val="22"/>
        </w:rPr>
        <w:t>tumorigenesis and tumor growth and repressed T cell-mediated cytotoxicity due to the upregulation of immune checkpoint PD-L1. The exhaustion of CD8</w:t>
      </w:r>
      <w:r w:rsidRPr="008C7663">
        <w:rPr>
          <w:rFonts w:ascii="Tahoma" w:eastAsia="Univers" w:hAnsi="Tahoma" w:cs="Tahoma"/>
          <w:color w:val="231F20"/>
          <w:kern w:val="0"/>
          <w:sz w:val="22"/>
          <w:szCs w:val="22"/>
          <w:vertAlign w:val="superscript"/>
        </w:rPr>
        <w:t>+</w:t>
      </w:r>
      <w:r w:rsidRPr="008C7663">
        <w:rPr>
          <w:rFonts w:ascii="Tahoma" w:eastAsia="Univers" w:hAnsi="Tahoma" w:cs="Tahoma"/>
          <w:color w:val="231F20"/>
          <w:kern w:val="0"/>
          <w:sz w:val="22"/>
          <w:szCs w:val="22"/>
        </w:rPr>
        <w:t xml:space="preserve"> T cells induced by DEHP-treated breast cancer cells was reversed by anti-PD-L1 antibody. Our data further demonstrated that DEHP transcriptionally induced PD-L1 expression through ER</w:t>
      </w:r>
      <w:r>
        <w:rPr>
          <w:rFonts w:ascii="Tahoma" w:eastAsia="Univers" w:hAnsi="Tahoma" w:cs="Tahoma"/>
          <w:color w:val="231F20"/>
          <w:kern w:val="0"/>
          <w:sz w:val="22"/>
          <w:szCs w:val="22"/>
        </w:rPr>
        <w:sym w:font="Symbol" w:char="F062"/>
      </w:r>
      <w:r w:rsidRPr="008C7663">
        <w:rPr>
          <w:rFonts w:ascii="Tahoma" w:eastAsia="Univers" w:hAnsi="Tahoma" w:cs="Tahoma"/>
          <w:color w:val="231F20"/>
          <w:kern w:val="0"/>
          <w:sz w:val="22"/>
          <w:szCs w:val="22"/>
        </w:rPr>
        <w:t xml:space="preserve"> activation even in triple-negative breast cancer (TNBC) cells. Moreover, CDK4/6 inhibitors were predicted as the potential therapeutic agents to reverse DEHP-induced transcriptomic signature. Indeed, DEHP increased CCND1-CDK4 expressions, and CDK4/6 inhibitors prevented DEHP-mediated CD8</w:t>
      </w:r>
      <w:r w:rsidRPr="008C7663">
        <w:rPr>
          <w:rFonts w:ascii="Tahoma" w:eastAsia="Univers" w:hAnsi="Tahoma" w:cs="Tahoma"/>
          <w:color w:val="231F20"/>
          <w:kern w:val="0"/>
          <w:sz w:val="22"/>
          <w:szCs w:val="22"/>
          <w:vertAlign w:val="superscript"/>
        </w:rPr>
        <w:t>+</w:t>
      </w:r>
      <w:r w:rsidRPr="008C7663">
        <w:rPr>
          <w:rFonts w:ascii="Tahoma" w:eastAsia="Univers" w:hAnsi="Tahoma" w:cs="Tahoma"/>
          <w:color w:val="231F20"/>
          <w:kern w:val="0"/>
          <w:sz w:val="22"/>
          <w:szCs w:val="22"/>
        </w:rPr>
        <w:t xml:space="preserve"> T cell exhaustion. Combination therapy with an anti-PD-1 antibody and </w:t>
      </w:r>
      <w:proofErr w:type="spellStart"/>
      <w:r w:rsidRPr="008C7663">
        <w:rPr>
          <w:rFonts w:ascii="Tahoma" w:eastAsia="Univers" w:hAnsi="Tahoma" w:cs="Tahoma"/>
          <w:color w:val="231F20"/>
          <w:kern w:val="0"/>
          <w:sz w:val="22"/>
          <w:szCs w:val="22"/>
        </w:rPr>
        <w:t>palbociclib</w:t>
      </w:r>
      <w:proofErr w:type="spellEnd"/>
      <w:r w:rsidRPr="008C7663">
        <w:rPr>
          <w:rFonts w:ascii="Tahoma" w:eastAsia="Univers" w:hAnsi="Tahoma" w:cs="Tahoma"/>
          <w:color w:val="231F20"/>
          <w:kern w:val="0"/>
          <w:sz w:val="22"/>
          <w:szCs w:val="22"/>
        </w:rPr>
        <w:t>, a CDK4/6 inhibitor, showed better anti-cancer activity and prevented anti-PD-1 antibody-induced immune-related adverse events (</w:t>
      </w:r>
      <w:proofErr w:type="spellStart"/>
      <w:r w:rsidRPr="008C7663">
        <w:rPr>
          <w:rFonts w:ascii="Tahoma" w:eastAsia="Univers" w:hAnsi="Tahoma" w:cs="Tahoma"/>
          <w:color w:val="231F20"/>
          <w:kern w:val="0"/>
          <w:sz w:val="22"/>
          <w:szCs w:val="22"/>
        </w:rPr>
        <w:t>irAEs</w:t>
      </w:r>
      <w:proofErr w:type="spellEnd"/>
      <w:r w:rsidRPr="008C7663">
        <w:rPr>
          <w:rFonts w:ascii="Tahoma" w:eastAsia="Univers" w:hAnsi="Tahoma" w:cs="Tahoma"/>
          <w:color w:val="231F20"/>
          <w:kern w:val="0"/>
          <w:sz w:val="22"/>
          <w:szCs w:val="22"/>
        </w:rPr>
        <w:t>) in the DEHP-associated 4T1-TNBC syngeneic mice model</w:t>
      </w:r>
      <w:r w:rsidR="00A55E9C" w:rsidRPr="007E6E90">
        <w:rPr>
          <w:rFonts w:ascii="Tahoma" w:eastAsia="Univers" w:hAnsi="Tahoma" w:cs="Tahoma"/>
          <w:color w:val="231F20"/>
          <w:kern w:val="0"/>
          <w:sz w:val="22"/>
          <w:szCs w:val="22"/>
        </w:rPr>
        <w:t>.</w:t>
      </w:r>
    </w:p>
    <w:p w14:paraId="3C169647" w14:textId="77777777" w:rsidR="00A55E9C" w:rsidRPr="007E6E90" w:rsidRDefault="00A55E9C" w:rsidP="00C44E7C">
      <w:pPr>
        <w:autoSpaceDE w:val="0"/>
        <w:autoSpaceDN w:val="0"/>
        <w:adjustRightInd w:val="0"/>
        <w:spacing w:line="360" w:lineRule="exact"/>
        <w:jc w:val="both"/>
        <w:rPr>
          <w:rFonts w:ascii="Tahoma" w:hAnsi="Tahoma" w:cs="Tahoma"/>
          <w:color w:val="231F20"/>
          <w:kern w:val="0"/>
          <w:sz w:val="28"/>
          <w:szCs w:val="28"/>
        </w:rPr>
      </w:pPr>
    </w:p>
    <w:p w14:paraId="498FFD21" w14:textId="77777777" w:rsidR="00A55E9C" w:rsidRPr="00C44E7C" w:rsidRDefault="00A55E9C" w:rsidP="00C44E7C">
      <w:pPr>
        <w:autoSpaceDE w:val="0"/>
        <w:autoSpaceDN w:val="0"/>
        <w:adjustRightInd w:val="0"/>
        <w:spacing w:line="360" w:lineRule="exact"/>
        <w:jc w:val="both"/>
        <w:rPr>
          <w:rFonts w:ascii="Tahoma" w:eastAsia="細明體" w:hAnsi="Tahoma" w:cs="Tahoma"/>
          <w:b/>
          <w:bCs/>
          <w:kern w:val="0"/>
          <w:sz w:val="22"/>
          <w:szCs w:val="22"/>
        </w:rPr>
      </w:pPr>
      <w:r w:rsidRPr="00C44E7C">
        <w:rPr>
          <w:rFonts w:ascii="Tahoma" w:eastAsia="細明體" w:hAnsi="Tahoma" w:cs="Tahoma"/>
          <w:b/>
          <w:bCs/>
          <w:kern w:val="0"/>
          <w:sz w:val="22"/>
          <w:szCs w:val="22"/>
        </w:rPr>
        <w:t>Conclusion</w:t>
      </w:r>
    </w:p>
    <w:p w14:paraId="33EEC4F0" w14:textId="514E7364" w:rsidR="00A55E9C" w:rsidRPr="006D79A4" w:rsidRDefault="008C7663" w:rsidP="00C44E7C">
      <w:pPr>
        <w:autoSpaceDE w:val="0"/>
        <w:autoSpaceDN w:val="0"/>
        <w:adjustRightInd w:val="0"/>
        <w:spacing w:line="360" w:lineRule="exact"/>
        <w:jc w:val="both"/>
        <w:rPr>
          <w:rFonts w:ascii="Tahoma" w:eastAsia="細明體" w:hAnsi="Tahoma" w:cs="Tahoma"/>
          <w:b/>
          <w:bCs/>
          <w:kern w:val="0"/>
          <w:sz w:val="22"/>
          <w:szCs w:val="22"/>
        </w:rPr>
      </w:pPr>
      <w:r w:rsidRPr="008C7663">
        <w:rPr>
          <w:rFonts w:ascii="Tahoma" w:eastAsia="Univers" w:hAnsi="Tahoma" w:cs="Tahoma"/>
          <w:color w:val="231F20"/>
          <w:kern w:val="0"/>
          <w:sz w:val="22"/>
          <w:szCs w:val="22"/>
        </w:rPr>
        <w:t>Exposure to DEHP suppresses the cytotoxicity of CD8</w:t>
      </w:r>
      <w:r w:rsidRPr="008C7663">
        <w:rPr>
          <w:rFonts w:ascii="Tahoma" w:eastAsia="Univers" w:hAnsi="Tahoma" w:cs="Tahoma"/>
          <w:color w:val="231F20"/>
          <w:kern w:val="0"/>
          <w:sz w:val="22"/>
          <w:szCs w:val="22"/>
          <w:vertAlign w:val="superscript"/>
        </w:rPr>
        <w:t>+</w:t>
      </w:r>
      <w:r w:rsidRPr="008C7663">
        <w:rPr>
          <w:rFonts w:ascii="Tahoma" w:eastAsia="Univers" w:hAnsi="Tahoma" w:cs="Tahoma"/>
          <w:color w:val="231F20"/>
          <w:kern w:val="0"/>
          <w:sz w:val="22"/>
          <w:szCs w:val="22"/>
        </w:rPr>
        <w:t xml:space="preserve"> T cells and promotes breast cancer onset and growth through the ERβ-dependent upregulation of PD-L1 expression. Additionally, DEHP-induced CDK4 not only drives cancer cell growth but also contributes to T cell exhaustion via PD-L1/PD-1 interactions. Co-targeting PD-1 and CDK4 enhances therapeutic efficacy and reduces immune checkpoint inhibitor (ICI)-related adverse events in plasticizer-associated early-onset breast cancer (EOBC), offering an effective and safe treatment strategy.</w:t>
      </w:r>
      <w:r w:rsidR="00A55E9C" w:rsidRPr="007E6E90">
        <w:rPr>
          <w:rFonts w:ascii="Tahoma" w:eastAsia="細明體" w:hAnsi="Tahoma" w:cs="Tahoma"/>
          <w:b/>
          <w:bCs/>
          <w:kern w:val="0"/>
          <w:sz w:val="22"/>
          <w:szCs w:val="22"/>
        </w:rPr>
        <w:t xml:space="preserve"> </w:t>
      </w:r>
    </w:p>
    <w:p w14:paraId="6A05FEE1" w14:textId="77777777" w:rsidR="00A55E9C" w:rsidRPr="007E6E90" w:rsidRDefault="00A55E9C" w:rsidP="00C44E7C">
      <w:pPr>
        <w:autoSpaceDE w:val="0"/>
        <w:autoSpaceDN w:val="0"/>
        <w:adjustRightInd w:val="0"/>
        <w:spacing w:line="360" w:lineRule="exact"/>
        <w:jc w:val="both"/>
        <w:rPr>
          <w:rFonts w:ascii="Tahoma" w:hAnsi="Tahoma" w:cs="Tahoma"/>
          <w:b/>
          <w:bCs/>
          <w:color w:val="000000"/>
        </w:rPr>
      </w:pPr>
    </w:p>
    <w:sectPr w:rsidR="00A55E9C" w:rsidRPr="007E6E90" w:rsidSect="006D79A4">
      <w:pgSz w:w="12240" w:h="15840"/>
      <w:pgMar w:top="540" w:right="900" w:bottom="36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1E17" w14:textId="77777777" w:rsidR="00A665EE" w:rsidRDefault="00A665EE" w:rsidP="006F4305">
      <w:r>
        <w:separator/>
      </w:r>
    </w:p>
  </w:endnote>
  <w:endnote w:type="continuationSeparator" w:id="0">
    <w:p w14:paraId="4D62B51C" w14:textId="77777777" w:rsidR="00A665EE" w:rsidRDefault="00A665EE" w:rsidP="006F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華康細圓體">
    <w:altName w:val="微軟正黑體"/>
    <w:panose1 w:val="020B0604020202020204"/>
    <w:charset w:val="88"/>
    <w:family w:val="modern"/>
    <w:pitch w:val="fixed"/>
    <w:sig w:usb0="80000001" w:usb1="28091800" w:usb2="00000016" w:usb3="00000000" w:csb0="00100000" w:csb1="00000000"/>
  </w:font>
  <w:font w:name="標楷體">
    <w:panose1 w:val="02010601000101010101"/>
    <w:charset w:val="88"/>
    <w:family w:val="script"/>
    <w:pitch w:val="fixed"/>
    <w:sig w:usb0="F1002BFF" w:usb1="29DFFFFF" w:usb2="00000037" w:usb3="00000000" w:csb0="001000FF" w:csb1="00000000"/>
  </w:font>
  <w:font w:name="Tunga">
    <w:panose1 w:val="020B0502040204020203"/>
    <w:charset w:val="00"/>
    <w:family w:val="swiss"/>
    <w:pitch w:val="variable"/>
    <w:sig w:usb0="004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5D1A" w14:textId="77777777" w:rsidR="00A665EE" w:rsidRDefault="00A665EE" w:rsidP="006F4305">
      <w:r>
        <w:separator/>
      </w:r>
    </w:p>
  </w:footnote>
  <w:footnote w:type="continuationSeparator" w:id="0">
    <w:p w14:paraId="2E11DC5F" w14:textId="77777777" w:rsidR="00A665EE" w:rsidRDefault="00A665EE" w:rsidP="006F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7E75"/>
    <w:multiLevelType w:val="hybridMultilevel"/>
    <w:tmpl w:val="2F7C1E88"/>
    <w:lvl w:ilvl="0" w:tplc="04090003">
      <w:start w:val="1"/>
      <w:numFmt w:val="bullet"/>
      <w:lvlText w:val=""/>
      <w:lvlJc w:val="left"/>
      <w:pPr>
        <w:tabs>
          <w:tab w:val="num" w:pos="1198"/>
        </w:tabs>
        <w:ind w:left="1198" w:hanging="480"/>
      </w:pPr>
      <w:rPr>
        <w:rFonts w:ascii="Wingdings" w:hAnsi="Wingdings" w:hint="default"/>
      </w:rPr>
    </w:lvl>
    <w:lvl w:ilvl="1" w:tplc="04090003" w:tentative="1">
      <w:start w:val="1"/>
      <w:numFmt w:val="bullet"/>
      <w:lvlText w:val=""/>
      <w:lvlJc w:val="left"/>
      <w:pPr>
        <w:tabs>
          <w:tab w:val="num" w:pos="1678"/>
        </w:tabs>
        <w:ind w:left="1678" w:hanging="480"/>
      </w:pPr>
      <w:rPr>
        <w:rFonts w:ascii="Wingdings" w:hAnsi="Wingdings" w:hint="default"/>
      </w:rPr>
    </w:lvl>
    <w:lvl w:ilvl="2" w:tplc="04090005" w:tentative="1">
      <w:start w:val="1"/>
      <w:numFmt w:val="bullet"/>
      <w:lvlText w:val=""/>
      <w:lvlJc w:val="left"/>
      <w:pPr>
        <w:tabs>
          <w:tab w:val="num" w:pos="2158"/>
        </w:tabs>
        <w:ind w:left="2158" w:hanging="480"/>
      </w:pPr>
      <w:rPr>
        <w:rFonts w:ascii="Wingdings" w:hAnsi="Wingdings" w:hint="default"/>
      </w:rPr>
    </w:lvl>
    <w:lvl w:ilvl="3" w:tplc="04090001" w:tentative="1">
      <w:start w:val="1"/>
      <w:numFmt w:val="bullet"/>
      <w:lvlText w:val=""/>
      <w:lvlJc w:val="left"/>
      <w:pPr>
        <w:tabs>
          <w:tab w:val="num" w:pos="2638"/>
        </w:tabs>
        <w:ind w:left="2638" w:hanging="480"/>
      </w:pPr>
      <w:rPr>
        <w:rFonts w:ascii="Wingdings" w:hAnsi="Wingdings" w:hint="default"/>
      </w:rPr>
    </w:lvl>
    <w:lvl w:ilvl="4" w:tplc="04090003" w:tentative="1">
      <w:start w:val="1"/>
      <w:numFmt w:val="bullet"/>
      <w:lvlText w:val=""/>
      <w:lvlJc w:val="left"/>
      <w:pPr>
        <w:tabs>
          <w:tab w:val="num" w:pos="3118"/>
        </w:tabs>
        <w:ind w:left="3118" w:hanging="480"/>
      </w:pPr>
      <w:rPr>
        <w:rFonts w:ascii="Wingdings" w:hAnsi="Wingdings" w:hint="default"/>
      </w:rPr>
    </w:lvl>
    <w:lvl w:ilvl="5" w:tplc="04090005" w:tentative="1">
      <w:start w:val="1"/>
      <w:numFmt w:val="bullet"/>
      <w:lvlText w:val=""/>
      <w:lvlJc w:val="left"/>
      <w:pPr>
        <w:tabs>
          <w:tab w:val="num" w:pos="3598"/>
        </w:tabs>
        <w:ind w:left="3598" w:hanging="480"/>
      </w:pPr>
      <w:rPr>
        <w:rFonts w:ascii="Wingdings" w:hAnsi="Wingdings" w:hint="default"/>
      </w:rPr>
    </w:lvl>
    <w:lvl w:ilvl="6" w:tplc="04090001" w:tentative="1">
      <w:start w:val="1"/>
      <w:numFmt w:val="bullet"/>
      <w:lvlText w:val=""/>
      <w:lvlJc w:val="left"/>
      <w:pPr>
        <w:tabs>
          <w:tab w:val="num" w:pos="4078"/>
        </w:tabs>
        <w:ind w:left="4078" w:hanging="480"/>
      </w:pPr>
      <w:rPr>
        <w:rFonts w:ascii="Wingdings" w:hAnsi="Wingdings" w:hint="default"/>
      </w:rPr>
    </w:lvl>
    <w:lvl w:ilvl="7" w:tplc="04090003" w:tentative="1">
      <w:start w:val="1"/>
      <w:numFmt w:val="bullet"/>
      <w:lvlText w:val=""/>
      <w:lvlJc w:val="left"/>
      <w:pPr>
        <w:tabs>
          <w:tab w:val="num" w:pos="4558"/>
        </w:tabs>
        <w:ind w:left="4558" w:hanging="480"/>
      </w:pPr>
      <w:rPr>
        <w:rFonts w:ascii="Wingdings" w:hAnsi="Wingdings" w:hint="default"/>
      </w:rPr>
    </w:lvl>
    <w:lvl w:ilvl="8" w:tplc="04090005" w:tentative="1">
      <w:start w:val="1"/>
      <w:numFmt w:val="bullet"/>
      <w:lvlText w:val=""/>
      <w:lvlJc w:val="left"/>
      <w:pPr>
        <w:tabs>
          <w:tab w:val="num" w:pos="5038"/>
        </w:tabs>
        <w:ind w:left="5038" w:hanging="480"/>
      </w:pPr>
      <w:rPr>
        <w:rFonts w:ascii="Wingdings" w:hAnsi="Wingdings" w:hint="default"/>
      </w:rPr>
    </w:lvl>
  </w:abstractNum>
  <w:abstractNum w:abstractNumId="1" w15:restartNumberingAfterBreak="0">
    <w:nsid w:val="2A937D10"/>
    <w:multiLevelType w:val="hybridMultilevel"/>
    <w:tmpl w:val="0346F58A"/>
    <w:lvl w:ilvl="0" w:tplc="6B4A92CE">
      <w:start w:val="1"/>
      <w:numFmt w:val="decimal"/>
      <w:pStyle w:val="TJCC"/>
      <w:lvlText w:val="A-I-%1"/>
      <w:lvlJc w:val="left"/>
      <w:pPr>
        <w:tabs>
          <w:tab w:val="num" w:pos="680"/>
        </w:tabs>
        <w:ind w:left="680" w:hanging="680"/>
      </w:pPr>
      <w:rPr>
        <w:rFonts w:ascii="Tahoma" w:hAnsi="Tahoma"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3C235D"/>
    <w:multiLevelType w:val="hybridMultilevel"/>
    <w:tmpl w:val="E5080FE8"/>
    <w:lvl w:ilvl="0" w:tplc="04090003">
      <w:start w:val="1"/>
      <w:numFmt w:val="bullet"/>
      <w:lvlText w:val=""/>
      <w:lvlJc w:val="left"/>
      <w:pPr>
        <w:tabs>
          <w:tab w:val="num" w:pos="1558"/>
        </w:tabs>
        <w:ind w:left="1558" w:hanging="480"/>
      </w:pPr>
      <w:rPr>
        <w:rFonts w:ascii="Wingdings" w:hAnsi="Wingdings" w:hint="default"/>
      </w:rPr>
    </w:lvl>
    <w:lvl w:ilvl="1" w:tplc="04090003" w:tentative="1">
      <w:start w:val="1"/>
      <w:numFmt w:val="bullet"/>
      <w:lvlText w:val=""/>
      <w:lvlJc w:val="left"/>
      <w:pPr>
        <w:tabs>
          <w:tab w:val="num" w:pos="2038"/>
        </w:tabs>
        <w:ind w:left="2038" w:hanging="480"/>
      </w:pPr>
      <w:rPr>
        <w:rFonts w:ascii="Wingdings" w:hAnsi="Wingdings" w:hint="default"/>
      </w:rPr>
    </w:lvl>
    <w:lvl w:ilvl="2" w:tplc="04090005" w:tentative="1">
      <w:start w:val="1"/>
      <w:numFmt w:val="bullet"/>
      <w:lvlText w:val=""/>
      <w:lvlJc w:val="left"/>
      <w:pPr>
        <w:tabs>
          <w:tab w:val="num" w:pos="2518"/>
        </w:tabs>
        <w:ind w:left="2518" w:hanging="480"/>
      </w:pPr>
      <w:rPr>
        <w:rFonts w:ascii="Wingdings" w:hAnsi="Wingdings" w:hint="default"/>
      </w:rPr>
    </w:lvl>
    <w:lvl w:ilvl="3" w:tplc="04090001" w:tentative="1">
      <w:start w:val="1"/>
      <w:numFmt w:val="bullet"/>
      <w:lvlText w:val=""/>
      <w:lvlJc w:val="left"/>
      <w:pPr>
        <w:tabs>
          <w:tab w:val="num" w:pos="2998"/>
        </w:tabs>
        <w:ind w:left="2998" w:hanging="480"/>
      </w:pPr>
      <w:rPr>
        <w:rFonts w:ascii="Wingdings" w:hAnsi="Wingdings" w:hint="default"/>
      </w:rPr>
    </w:lvl>
    <w:lvl w:ilvl="4" w:tplc="04090003" w:tentative="1">
      <w:start w:val="1"/>
      <w:numFmt w:val="bullet"/>
      <w:lvlText w:val=""/>
      <w:lvlJc w:val="left"/>
      <w:pPr>
        <w:tabs>
          <w:tab w:val="num" w:pos="3478"/>
        </w:tabs>
        <w:ind w:left="3478" w:hanging="480"/>
      </w:pPr>
      <w:rPr>
        <w:rFonts w:ascii="Wingdings" w:hAnsi="Wingdings" w:hint="default"/>
      </w:rPr>
    </w:lvl>
    <w:lvl w:ilvl="5" w:tplc="04090005" w:tentative="1">
      <w:start w:val="1"/>
      <w:numFmt w:val="bullet"/>
      <w:lvlText w:val=""/>
      <w:lvlJc w:val="left"/>
      <w:pPr>
        <w:tabs>
          <w:tab w:val="num" w:pos="3958"/>
        </w:tabs>
        <w:ind w:left="3958" w:hanging="480"/>
      </w:pPr>
      <w:rPr>
        <w:rFonts w:ascii="Wingdings" w:hAnsi="Wingdings" w:hint="default"/>
      </w:rPr>
    </w:lvl>
    <w:lvl w:ilvl="6" w:tplc="04090001" w:tentative="1">
      <w:start w:val="1"/>
      <w:numFmt w:val="bullet"/>
      <w:lvlText w:val=""/>
      <w:lvlJc w:val="left"/>
      <w:pPr>
        <w:tabs>
          <w:tab w:val="num" w:pos="4438"/>
        </w:tabs>
        <w:ind w:left="4438" w:hanging="480"/>
      </w:pPr>
      <w:rPr>
        <w:rFonts w:ascii="Wingdings" w:hAnsi="Wingdings" w:hint="default"/>
      </w:rPr>
    </w:lvl>
    <w:lvl w:ilvl="7" w:tplc="04090003" w:tentative="1">
      <w:start w:val="1"/>
      <w:numFmt w:val="bullet"/>
      <w:lvlText w:val=""/>
      <w:lvlJc w:val="left"/>
      <w:pPr>
        <w:tabs>
          <w:tab w:val="num" w:pos="4918"/>
        </w:tabs>
        <w:ind w:left="4918" w:hanging="480"/>
      </w:pPr>
      <w:rPr>
        <w:rFonts w:ascii="Wingdings" w:hAnsi="Wingdings" w:hint="default"/>
      </w:rPr>
    </w:lvl>
    <w:lvl w:ilvl="8" w:tplc="04090005" w:tentative="1">
      <w:start w:val="1"/>
      <w:numFmt w:val="bullet"/>
      <w:lvlText w:val=""/>
      <w:lvlJc w:val="left"/>
      <w:pPr>
        <w:tabs>
          <w:tab w:val="num" w:pos="5398"/>
        </w:tabs>
        <w:ind w:left="5398" w:hanging="48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E9C"/>
    <w:rsid w:val="00000258"/>
    <w:rsid w:val="00002BFD"/>
    <w:rsid w:val="00004E4F"/>
    <w:rsid w:val="000112DA"/>
    <w:rsid w:val="00011472"/>
    <w:rsid w:val="00012759"/>
    <w:rsid w:val="00015D73"/>
    <w:rsid w:val="00016344"/>
    <w:rsid w:val="000164D0"/>
    <w:rsid w:val="00016A90"/>
    <w:rsid w:val="00024546"/>
    <w:rsid w:val="00025128"/>
    <w:rsid w:val="000470DA"/>
    <w:rsid w:val="0004786C"/>
    <w:rsid w:val="00050477"/>
    <w:rsid w:val="00060FB0"/>
    <w:rsid w:val="000614F1"/>
    <w:rsid w:val="00070FC4"/>
    <w:rsid w:val="00080EB6"/>
    <w:rsid w:val="00083BEB"/>
    <w:rsid w:val="00090F9D"/>
    <w:rsid w:val="000934EB"/>
    <w:rsid w:val="000A1B64"/>
    <w:rsid w:val="000A4E60"/>
    <w:rsid w:val="000B1838"/>
    <w:rsid w:val="000B3AC5"/>
    <w:rsid w:val="000C3BDB"/>
    <w:rsid w:val="000D08BD"/>
    <w:rsid w:val="000D2B1D"/>
    <w:rsid w:val="000E271F"/>
    <w:rsid w:val="000E387A"/>
    <w:rsid w:val="000E3ED1"/>
    <w:rsid w:val="000E456A"/>
    <w:rsid w:val="000F0848"/>
    <w:rsid w:val="000F35CF"/>
    <w:rsid w:val="0010247A"/>
    <w:rsid w:val="00104F51"/>
    <w:rsid w:val="00110E7D"/>
    <w:rsid w:val="001122AB"/>
    <w:rsid w:val="00113353"/>
    <w:rsid w:val="00113911"/>
    <w:rsid w:val="0011777B"/>
    <w:rsid w:val="00117A40"/>
    <w:rsid w:val="00133D02"/>
    <w:rsid w:val="001355E1"/>
    <w:rsid w:val="00142433"/>
    <w:rsid w:val="0014619F"/>
    <w:rsid w:val="00146DDD"/>
    <w:rsid w:val="00146E8C"/>
    <w:rsid w:val="00150B16"/>
    <w:rsid w:val="00151576"/>
    <w:rsid w:val="001521DD"/>
    <w:rsid w:val="00155E4F"/>
    <w:rsid w:val="0015696A"/>
    <w:rsid w:val="00167A62"/>
    <w:rsid w:val="0017168C"/>
    <w:rsid w:val="00174048"/>
    <w:rsid w:val="00187681"/>
    <w:rsid w:val="001A56AB"/>
    <w:rsid w:val="001A778F"/>
    <w:rsid w:val="001B7CC1"/>
    <w:rsid w:val="001D59B9"/>
    <w:rsid w:val="001E4843"/>
    <w:rsid w:val="001E65D3"/>
    <w:rsid w:val="001F7ABF"/>
    <w:rsid w:val="00200178"/>
    <w:rsid w:val="002031BA"/>
    <w:rsid w:val="002178A1"/>
    <w:rsid w:val="00222DD7"/>
    <w:rsid w:val="00226F09"/>
    <w:rsid w:val="00230B56"/>
    <w:rsid w:val="00231AC0"/>
    <w:rsid w:val="00231DD0"/>
    <w:rsid w:val="0023450D"/>
    <w:rsid w:val="0024159D"/>
    <w:rsid w:val="00243B92"/>
    <w:rsid w:val="00243F94"/>
    <w:rsid w:val="002477AC"/>
    <w:rsid w:val="00250182"/>
    <w:rsid w:val="00253089"/>
    <w:rsid w:val="00253DE1"/>
    <w:rsid w:val="00255DF7"/>
    <w:rsid w:val="00255E99"/>
    <w:rsid w:val="0026106E"/>
    <w:rsid w:val="00264451"/>
    <w:rsid w:val="00267C5C"/>
    <w:rsid w:val="00272BAA"/>
    <w:rsid w:val="00272F2A"/>
    <w:rsid w:val="002771D2"/>
    <w:rsid w:val="002833D3"/>
    <w:rsid w:val="00283C6D"/>
    <w:rsid w:val="00286CD1"/>
    <w:rsid w:val="00293508"/>
    <w:rsid w:val="002942D5"/>
    <w:rsid w:val="00294402"/>
    <w:rsid w:val="0029484C"/>
    <w:rsid w:val="002956D6"/>
    <w:rsid w:val="002A3152"/>
    <w:rsid w:val="002A6700"/>
    <w:rsid w:val="002C0B1D"/>
    <w:rsid w:val="002C37AA"/>
    <w:rsid w:val="002C5670"/>
    <w:rsid w:val="002D1D18"/>
    <w:rsid w:val="002D7696"/>
    <w:rsid w:val="002E36A0"/>
    <w:rsid w:val="002E4386"/>
    <w:rsid w:val="002E50F5"/>
    <w:rsid w:val="002E54B2"/>
    <w:rsid w:val="002E6285"/>
    <w:rsid w:val="002F79AE"/>
    <w:rsid w:val="003002CE"/>
    <w:rsid w:val="0030503E"/>
    <w:rsid w:val="003076AE"/>
    <w:rsid w:val="0031459B"/>
    <w:rsid w:val="003326A0"/>
    <w:rsid w:val="00335533"/>
    <w:rsid w:val="0033686D"/>
    <w:rsid w:val="00337D36"/>
    <w:rsid w:val="00337DAE"/>
    <w:rsid w:val="00341DF9"/>
    <w:rsid w:val="003434F9"/>
    <w:rsid w:val="00343A63"/>
    <w:rsid w:val="003524BC"/>
    <w:rsid w:val="00357AFA"/>
    <w:rsid w:val="00364EF2"/>
    <w:rsid w:val="003651F2"/>
    <w:rsid w:val="00377025"/>
    <w:rsid w:val="003805B5"/>
    <w:rsid w:val="003927A0"/>
    <w:rsid w:val="003A3D48"/>
    <w:rsid w:val="003A52A1"/>
    <w:rsid w:val="003A5C39"/>
    <w:rsid w:val="003B5044"/>
    <w:rsid w:val="003C0543"/>
    <w:rsid w:val="003C23FD"/>
    <w:rsid w:val="003D1B30"/>
    <w:rsid w:val="003F2C90"/>
    <w:rsid w:val="003F69CF"/>
    <w:rsid w:val="0040132C"/>
    <w:rsid w:val="004109DA"/>
    <w:rsid w:val="0041342F"/>
    <w:rsid w:val="00422618"/>
    <w:rsid w:val="00426B55"/>
    <w:rsid w:val="00427061"/>
    <w:rsid w:val="00427ECE"/>
    <w:rsid w:val="004326EA"/>
    <w:rsid w:val="004342C8"/>
    <w:rsid w:val="00436D21"/>
    <w:rsid w:val="00437CF5"/>
    <w:rsid w:val="00443EB1"/>
    <w:rsid w:val="00446A5B"/>
    <w:rsid w:val="00452722"/>
    <w:rsid w:val="00483BEA"/>
    <w:rsid w:val="0048442D"/>
    <w:rsid w:val="0048497D"/>
    <w:rsid w:val="004907EA"/>
    <w:rsid w:val="00490D2C"/>
    <w:rsid w:val="004960DE"/>
    <w:rsid w:val="004A2FD7"/>
    <w:rsid w:val="004A337F"/>
    <w:rsid w:val="004A4223"/>
    <w:rsid w:val="004C1953"/>
    <w:rsid w:val="004C55B4"/>
    <w:rsid w:val="004C5C40"/>
    <w:rsid w:val="004D0DD1"/>
    <w:rsid w:val="004D3796"/>
    <w:rsid w:val="004D70C2"/>
    <w:rsid w:val="004E576B"/>
    <w:rsid w:val="004E6151"/>
    <w:rsid w:val="004E6CE4"/>
    <w:rsid w:val="004F3A6B"/>
    <w:rsid w:val="004F7499"/>
    <w:rsid w:val="005003A3"/>
    <w:rsid w:val="00502879"/>
    <w:rsid w:val="005029FE"/>
    <w:rsid w:val="00512DA1"/>
    <w:rsid w:val="00513034"/>
    <w:rsid w:val="005148FA"/>
    <w:rsid w:val="00516DBB"/>
    <w:rsid w:val="00526A00"/>
    <w:rsid w:val="00530721"/>
    <w:rsid w:val="0053104B"/>
    <w:rsid w:val="00533556"/>
    <w:rsid w:val="0054337B"/>
    <w:rsid w:val="005439D0"/>
    <w:rsid w:val="00553123"/>
    <w:rsid w:val="00556188"/>
    <w:rsid w:val="00556B3D"/>
    <w:rsid w:val="0055737C"/>
    <w:rsid w:val="00562CDF"/>
    <w:rsid w:val="00562FEE"/>
    <w:rsid w:val="00563941"/>
    <w:rsid w:val="00566FEB"/>
    <w:rsid w:val="0056741F"/>
    <w:rsid w:val="00567C47"/>
    <w:rsid w:val="0057035B"/>
    <w:rsid w:val="00580FF3"/>
    <w:rsid w:val="005851DF"/>
    <w:rsid w:val="00585C00"/>
    <w:rsid w:val="00585D6C"/>
    <w:rsid w:val="00587259"/>
    <w:rsid w:val="00587F32"/>
    <w:rsid w:val="005914B4"/>
    <w:rsid w:val="00592B71"/>
    <w:rsid w:val="00593023"/>
    <w:rsid w:val="00595001"/>
    <w:rsid w:val="0059559B"/>
    <w:rsid w:val="00595DDE"/>
    <w:rsid w:val="005A60FD"/>
    <w:rsid w:val="005B0A4A"/>
    <w:rsid w:val="005B67CB"/>
    <w:rsid w:val="005C280F"/>
    <w:rsid w:val="005C31F6"/>
    <w:rsid w:val="005C44F5"/>
    <w:rsid w:val="005C7C9C"/>
    <w:rsid w:val="005E07DF"/>
    <w:rsid w:val="005F4ADF"/>
    <w:rsid w:val="00600EDD"/>
    <w:rsid w:val="00604025"/>
    <w:rsid w:val="006067F8"/>
    <w:rsid w:val="00613814"/>
    <w:rsid w:val="00614A95"/>
    <w:rsid w:val="00617118"/>
    <w:rsid w:val="006201B5"/>
    <w:rsid w:val="00621819"/>
    <w:rsid w:val="00623D05"/>
    <w:rsid w:val="006257EB"/>
    <w:rsid w:val="00636A74"/>
    <w:rsid w:val="00636F67"/>
    <w:rsid w:val="00647BCE"/>
    <w:rsid w:val="00647F06"/>
    <w:rsid w:val="00652DAE"/>
    <w:rsid w:val="00660F40"/>
    <w:rsid w:val="00663AB6"/>
    <w:rsid w:val="00666B3E"/>
    <w:rsid w:val="00670F0A"/>
    <w:rsid w:val="006757F8"/>
    <w:rsid w:val="00676776"/>
    <w:rsid w:val="00680640"/>
    <w:rsid w:val="0068395C"/>
    <w:rsid w:val="0068475B"/>
    <w:rsid w:val="00695737"/>
    <w:rsid w:val="00695B1F"/>
    <w:rsid w:val="006A220E"/>
    <w:rsid w:val="006A375A"/>
    <w:rsid w:val="006A4D7E"/>
    <w:rsid w:val="006A6A5F"/>
    <w:rsid w:val="006B23D0"/>
    <w:rsid w:val="006B4874"/>
    <w:rsid w:val="006C0333"/>
    <w:rsid w:val="006C0CA5"/>
    <w:rsid w:val="006C0DB0"/>
    <w:rsid w:val="006C1DAB"/>
    <w:rsid w:val="006C6D3F"/>
    <w:rsid w:val="006D0514"/>
    <w:rsid w:val="006D1696"/>
    <w:rsid w:val="006D2B6D"/>
    <w:rsid w:val="006D5928"/>
    <w:rsid w:val="006D5C45"/>
    <w:rsid w:val="006D79A4"/>
    <w:rsid w:val="006E06D0"/>
    <w:rsid w:val="006E552D"/>
    <w:rsid w:val="006E7B69"/>
    <w:rsid w:val="006F2839"/>
    <w:rsid w:val="006F4305"/>
    <w:rsid w:val="006F4F1A"/>
    <w:rsid w:val="006F5346"/>
    <w:rsid w:val="006F7DCE"/>
    <w:rsid w:val="00703663"/>
    <w:rsid w:val="007066D2"/>
    <w:rsid w:val="00713CB2"/>
    <w:rsid w:val="00714929"/>
    <w:rsid w:val="00716092"/>
    <w:rsid w:val="00722754"/>
    <w:rsid w:val="00734D9F"/>
    <w:rsid w:val="00737097"/>
    <w:rsid w:val="00751F37"/>
    <w:rsid w:val="00752589"/>
    <w:rsid w:val="0075499C"/>
    <w:rsid w:val="00756BE8"/>
    <w:rsid w:val="0076144D"/>
    <w:rsid w:val="007631A2"/>
    <w:rsid w:val="007649F0"/>
    <w:rsid w:val="007659EC"/>
    <w:rsid w:val="00767753"/>
    <w:rsid w:val="00770AF6"/>
    <w:rsid w:val="00772E4D"/>
    <w:rsid w:val="00777FAF"/>
    <w:rsid w:val="00781F86"/>
    <w:rsid w:val="0078329E"/>
    <w:rsid w:val="00792763"/>
    <w:rsid w:val="007A2024"/>
    <w:rsid w:val="007B0D52"/>
    <w:rsid w:val="007B6F55"/>
    <w:rsid w:val="007B7C9A"/>
    <w:rsid w:val="007C4C3B"/>
    <w:rsid w:val="007C5713"/>
    <w:rsid w:val="007C615C"/>
    <w:rsid w:val="007C6B42"/>
    <w:rsid w:val="007D156E"/>
    <w:rsid w:val="007D7464"/>
    <w:rsid w:val="007E0325"/>
    <w:rsid w:val="007E08C9"/>
    <w:rsid w:val="007E6821"/>
    <w:rsid w:val="007E6E90"/>
    <w:rsid w:val="007E7674"/>
    <w:rsid w:val="007E7A84"/>
    <w:rsid w:val="007F08A7"/>
    <w:rsid w:val="007F548A"/>
    <w:rsid w:val="00803D20"/>
    <w:rsid w:val="00804C39"/>
    <w:rsid w:val="008110C1"/>
    <w:rsid w:val="008122E0"/>
    <w:rsid w:val="00814A6C"/>
    <w:rsid w:val="0082682F"/>
    <w:rsid w:val="00827415"/>
    <w:rsid w:val="00830AB0"/>
    <w:rsid w:val="00835AF1"/>
    <w:rsid w:val="00841E2E"/>
    <w:rsid w:val="00844D2B"/>
    <w:rsid w:val="00853775"/>
    <w:rsid w:val="0085429C"/>
    <w:rsid w:val="00856C5C"/>
    <w:rsid w:val="0085780F"/>
    <w:rsid w:val="0086115A"/>
    <w:rsid w:val="00863E22"/>
    <w:rsid w:val="008678ED"/>
    <w:rsid w:val="00870B80"/>
    <w:rsid w:val="008743A8"/>
    <w:rsid w:val="00890367"/>
    <w:rsid w:val="0089109A"/>
    <w:rsid w:val="00892514"/>
    <w:rsid w:val="00892823"/>
    <w:rsid w:val="008956DB"/>
    <w:rsid w:val="008A07D0"/>
    <w:rsid w:val="008B209A"/>
    <w:rsid w:val="008B32CE"/>
    <w:rsid w:val="008B3EF1"/>
    <w:rsid w:val="008B764D"/>
    <w:rsid w:val="008C317F"/>
    <w:rsid w:val="008C3D27"/>
    <w:rsid w:val="008C572C"/>
    <w:rsid w:val="008C7663"/>
    <w:rsid w:val="008D02F4"/>
    <w:rsid w:val="008D4651"/>
    <w:rsid w:val="008D56FE"/>
    <w:rsid w:val="008E622C"/>
    <w:rsid w:val="008E67E3"/>
    <w:rsid w:val="008E719A"/>
    <w:rsid w:val="008F136A"/>
    <w:rsid w:val="008F2B45"/>
    <w:rsid w:val="008F3220"/>
    <w:rsid w:val="008F444C"/>
    <w:rsid w:val="00901DD2"/>
    <w:rsid w:val="00907209"/>
    <w:rsid w:val="00917CF5"/>
    <w:rsid w:val="00920E71"/>
    <w:rsid w:val="00921422"/>
    <w:rsid w:val="00921C30"/>
    <w:rsid w:val="00923106"/>
    <w:rsid w:val="00937170"/>
    <w:rsid w:val="009373ED"/>
    <w:rsid w:val="00957709"/>
    <w:rsid w:val="0096027D"/>
    <w:rsid w:val="0096314E"/>
    <w:rsid w:val="00964A66"/>
    <w:rsid w:val="00964F88"/>
    <w:rsid w:val="009653C4"/>
    <w:rsid w:val="009670B8"/>
    <w:rsid w:val="009725B7"/>
    <w:rsid w:val="009778DD"/>
    <w:rsid w:val="009929F8"/>
    <w:rsid w:val="009958C0"/>
    <w:rsid w:val="009A1DD9"/>
    <w:rsid w:val="009A289C"/>
    <w:rsid w:val="009B1143"/>
    <w:rsid w:val="009B145A"/>
    <w:rsid w:val="009B1979"/>
    <w:rsid w:val="009B2EB5"/>
    <w:rsid w:val="009B6C4D"/>
    <w:rsid w:val="009B7CA1"/>
    <w:rsid w:val="009C79B9"/>
    <w:rsid w:val="009D189F"/>
    <w:rsid w:val="009D3320"/>
    <w:rsid w:val="009D34BC"/>
    <w:rsid w:val="009D7AFF"/>
    <w:rsid w:val="009E1C40"/>
    <w:rsid w:val="009E2B59"/>
    <w:rsid w:val="009E6240"/>
    <w:rsid w:val="009F0B9B"/>
    <w:rsid w:val="009F1563"/>
    <w:rsid w:val="009F235C"/>
    <w:rsid w:val="009F7979"/>
    <w:rsid w:val="009F7E6A"/>
    <w:rsid w:val="00A03CD0"/>
    <w:rsid w:val="00A0640B"/>
    <w:rsid w:val="00A06983"/>
    <w:rsid w:val="00A10368"/>
    <w:rsid w:val="00A11163"/>
    <w:rsid w:val="00A12717"/>
    <w:rsid w:val="00A142D4"/>
    <w:rsid w:val="00A2069B"/>
    <w:rsid w:val="00A20EB5"/>
    <w:rsid w:val="00A2653E"/>
    <w:rsid w:val="00A3026E"/>
    <w:rsid w:val="00A308B2"/>
    <w:rsid w:val="00A40F4A"/>
    <w:rsid w:val="00A43AF6"/>
    <w:rsid w:val="00A46BA9"/>
    <w:rsid w:val="00A55E9C"/>
    <w:rsid w:val="00A665EE"/>
    <w:rsid w:val="00A67100"/>
    <w:rsid w:val="00A727D1"/>
    <w:rsid w:val="00A733CA"/>
    <w:rsid w:val="00A74A98"/>
    <w:rsid w:val="00A77337"/>
    <w:rsid w:val="00A778DC"/>
    <w:rsid w:val="00A80D00"/>
    <w:rsid w:val="00A81562"/>
    <w:rsid w:val="00A82081"/>
    <w:rsid w:val="00A83C84"/>
    <w:rsid w:val="00A86533"/>
    <w:rsid w:val="00A9630F"/>
    <w:rsid w:val="00AA5163"/>
    <w:rsid w:val="00AA648B"/>
    <w:rsid w:val="00AB4891"/>
    <w:rsid w:val="00AB5DE6"/>
    <w:rsid w:val="00AB6788"/>
    <w:rsid w:val="00AB6AB4"/>
    <w:rsid w:val="00AC4E17"/>
    <w:rsid w:val="00AC7FB8"/>
    <w:rsid w:val="00AD101E"/>
    <w:rsid w:val="00AD1181"/>
    <w:rsid w:val="00AD5766"/>
    <w:rsid w:val="00AE1048"/>
    <w:rsid w:val="00AE1081"/>
    <w:rsid w:val="00AE52C0"/>
    <w:rsid w:val="00AE5C1C"/>
    <w:rsid w:val="00AE5D12"/>
    <w:rsid w:val="00AF104C"/>
    <w:rsid w:val="00AF162B"/>
    <w:rsid w:val="00AF28A4"/>
    <w:rsid w:val="00B01602"/>
    <w:rsid w:val="00B023C9"/>
    <w:rsid w:val="00B04E45"/>
    <w:rsid w:val="00B1018E"/>
    <w:rsid w:val="00B106DD"/>
    <w:rsid w:val="00B12299"/>
    <w:rsid w:val="00B13FFC"/>
    <w:rsid w:val="00B1483A"/>
    <w:rsid w:val="00B20BB7"/>
    <w:rsid w:val="00B24BCE"/>
    <w:rsid w:val="00B42C0D"/>
    <w:rsid w:val="00B530F0"/>
    <w:rsid w:val="00B5423C"/>
    <w:rsid w:val="00B56300"/>
    <w:rsid w:val="00B61268"/>
    <w:rsid w:val="00B62594"/>
    <w:rsid w:val="00B63951"/>
    <w:rsid w:val="00B65A3E"/>
    <w:rsid w:val="00B66EFF"/>
    <w:rsid w:val="00B718EC"/>
    <w:rsid w:val="00B741E7"/>
    <w:rsid w:val="00B75041"/>
    <w:rsid w:val="00B83045"/>
    <w:rsid w:val="00B85438"/>
    <w:rsid w:val="00B85BB5"/>
    <w:rsid w:val="00B87DF4"/>
    <w:rsid w:val="00B91A00"/>
    <w:rsid w:val="00B93B19"/>
    <w:rsid w:val="00B94D25"/>
    <w:rsid w:val="00B95020"/>
    <w:rsid w:val="00B97D42"/>
    <w:rsid w:val="00BA1058"/>
    <w:rsid w:val="00BA10E7"/>
    <w:rsid w:val="00BA2C9B"/>
    <w:rsid w:val="00BA61EB"/>
    <w:rsid w:val="00BB006B"/>
    <w:rsid w:val="00BB01DE"/>
    <w:rsid w:val="00BB122E"/>
    <w:rsid w:val="00BB39EE"/>
    <w:rsid w:val="00BB3F2F"/>
    <w:rsid w:val="00BB4E41"/>
    <w:rsid w:val="00BC692A"/>
    <w:rsid w:val="00BD28DF"/>
    <w:rsid w:val="00BE015E"/>
    <w:rsid w:val="00BE1604"/>
    <w:rsid w:val="00BE712D"/>
    <w:rsid w:val="00BF1E88"/>
    <w:rsid w:val="00BF35D3"/>
    <w:rsid w:val="00BF47DA"/>
    <w:rsid w:val="00BF47E2"/>
    <w:rsid w:val="00BF7C4B"/>
    <w:rsid w:val="00C04CF0"/>
    <w:rsid w:val="00C05D12"/>
    <w:rsid w:val="00C06710"/>
    <w:rsid w:val="00C10C11"/>
    <w:rsid w:val="00C11C06"/>
    <w:rsid w:val="00C21BE3"/>
    <w:rsid w:val="00C23F41"/>
    <w:rsid w:val="00C24F24"/>
    <w:rsid w:val="00C33A91"/>
    <w:rsid w:val="00C342A8"/>
    <w:rsid w:val="00C345ED"/>
    <w:rsid w:val="00C34A7F"/>
    <w:rsid w:val="00C37EE5"/>
    <w:rsid w:val="00C432F2"/>
    <w:rsid w:val="00C44E7C"/>
    <w:rsid w:val="00C515CB"/>
    <w:rsid w:val="00C546BB"/>
    <w:rsid w:val="00C5762E"/>
    <w:rsid w:val="00C57BE9"/>
    <w:rsid w:val="00C665A7"/>
    <w:rsid w:val="00C66F7A"/>
    <w:rsid w:val="00C70134"/>
    <w:rsid w:val="00C72783"/>
    <w:rsid w:val="00C72ADC"/>
    <w:rsid w:val="00C743CB"/>
    <w:rsid w:val="00C7578A"/>
    <w:rsid w:val="00C75915"/>
    <w:rsid w:val="00C800A9"/>
    <w:rsid w:val="00C8159D"/>
    <w:rsid w:val="00C9032B"/>
    <w:rsid w:val="00C92473"/>
    <w:rsid w:val="00C94C23"/>
    <w:rsid w:val="00CA0774"/>
    <w:rsid w:val="00CA43F7"/>
    <w:rsid w:val="00CB0888"/>
    <w:rsid w:val="00CB2173"/>
    <w:rsid w:val="00CB3A93"/>
    <w:rsid w:val="00CB729D"/>
    <w:rsid w:val="00CC26DE"/>
    <w:rsid w:val="00CC7A23"/>
    <w:rsid w:val="00CD5097"/>
    <w:rsid w:val="00CD7C2D"/>
    <w:rsid w:val="00CE684A"/>
    <w:rsid w:val="00CE7942"/>
    <w:rsid w:val="00CF02BF"/>
    <w:rsid w:val="00CF2D29"/>
    <w:rsid w:val="00CF2D6F"/>
    <w:rsid w:val="00CF3664"/>
    <w:rsid w:val="00CF4CE1"/>
    <w:rsid w:val="00D021F5"/>
    <w:rsid w:val="00D04596"/>
    <w:rsid w:val="00D05753"/>
    <w:rsid w:val="00D06107"/>
    <w:rsid w:val="00D138CA"/>
    <w:rsid w:val="00D15165"/>
    <w:rsid w:val="00D20346"/>
    <w:rsid w:val="00D26A71"/>
    <w:rsid w:val="00D338C5"/>
    <w:rsid w:val="00D36133"/>
    <w:rsid w:val="00D41210"/>
    <w:rsid w:val="00D41997"/>
    <w:rsid w:val="00D473DF"/>
    <w:rsid w:val="00D56AAD"/>
    <w:rsid w:val="00D71DA6"/>
    <w:rsid w:val="00D735F2"/>
    <w:rsid w:val="00D8646C"/>
    <w:rsid w:val="00DA569F"/>
    <w:rsid w:val="00DB0431"/>
    <w:rsid w:val="00DC09B6"/>
    <w:rsid w:val="00DC19E3"/>
    <w:rsid w:val="00DC1D07"/>
    <w:rsid w:val="00DC7FF4"/>
    <w:rsid w:val="00DD306C"/>
    <w:rsid w:val="00DD4FEF"/>
    <w:rsid w:val="00DD5B80"/>
    <w:rsid w:val="00DD78D9"/>
    <w:rsid w:val="00DE00D6"/>
    <w:rsid w:val="00DE5785"/>
    <w:rsid w:val="00DF00BC"/>
    <w:rsid w:val="00DF5C8D"/>
    <w:rsid w:val="00DF5FBA"/>
    <w:rsid w:val="00E0087D"/>
    <w:rsid w:val="00E012C0"/>
    <w:rsid w:val="00E01337"/>
    <w:rsid w:val="00E02E58"/>
    <w:rsid w:val="00E1202D"/>
    <w:rsid w:val="00E21B0E"/>
    <w:rsid w:val="00E229BF"/>
    <w:rsid w:val="00E23E4F"/>
    <w:rsid w:val="00E24A01"/>
    <w:rsid w:val="00E25A79"/>
    <w:rsid w:val="00E25B5D"/>
    <w:rsid w:val="00E26025"/>
    <w:rsid w:val="00E26CB2"/>
    <w:rsid w:val="00E311F5"/>
    <w:rsid w:val="00E318DE"/>
    <w:rsid w:val="00E34468"/>
    <w:rsid w:val="00E41C49"/>
    <w:rsid w:val="00E45BA2"/>
    <w:rsid w:val="00E524EC"/>
    <w:rsid w:val="00E54D3D"/>
    <w:rsid w:val="00E66389"/>
    <w:rsid w:val="00E6759F"/>
    <w:rsid w:val="00E823B9"/>
    <w:rsid w:val="00E83FEA"/>
    <w:rsid w:val="00E85335"/>
    <w:rsid w:val="00E915F4"/>
    <w:rsid w:val="00E97461"/>
    <w:rsid w:val="00EA268D"/>
    <w:rsid w:val="00EA2859"/>
    <w:rsid w:val="00EA3FF1"/>
    <w:rsid w:val="00EA7533"/>
    <w:rsid w:val="00EC0C2D"/>
    <w:rsid w:val="00EC3190"/>
    <w:rsid w:val="00ED3EB6"/>
    <w:rsid w:val="00ED780F"/>
    <w:rsid w:val="00ED7C47"/>
    <w:rsid w:val="00EE0999"/>
    <w:rsid w:val="00EE10AB"/>
    <w:rsid w:val="00EE3C42"/>
    <w:rsid w:val="00EF0823"/>
    <w:rsid w:val="00F0256E"/>
    <w:rsid w:val="00F04FD2"/>
    <w:rsid w:val="00F07BB0"/>
    <w:rsid w:val="00F1410B"/>
    <w:rsid w:val="00F175BA"/>
    <w:rsid w:val="00F20C3C"/>
    <w:rsid w:val="00F25EB0"/>
    <w:rsid w:val="00F27E7C"/>
    <w:rsid w:val="00F33441"/>
    <w:rsid w:val="00F34D17"/>
    <w:rsid w:val="00F414A5"/>
    <w:rsid w:val="00F44A67"/>
    <w:rsid w:val="00F44DB4"/>
    <w:rsid w:val="00F45D1B"/>
    <w:rsid w:val="00F50DF8"/>
    <w:rsid w:val="00F57313"/>
    <w:rsid w:val="00F60C26"/>
    <w:rsid w:val="00F60D15"/>
    <w:rsid w:val="00F610F2"/>
    <w:rsid w:val="00F628CA"/>
    <w:rsid w:val="00F67F72"/>
    <w:rsid w:val="00F70485"/>
    <w:rsid w:val="00F7225F"/>
    <w:rsid w:val="00F727ED"/>
    <w:rsid w:val="00F72A67"/>
    <w:rsid w:val="00F83EDD"/>
    <w:rsid w:val="00F84A7D"/>
    <w:rsid w:val="00F87C3B"/>
    <w:rsid w:val="00F9071A"/>
    <w:rsid w:val="00F935B1"/>
    <w:rsid w:val="00F94761"/>
    <w:rsid w:val="00F96963"/>
    <w:rsid w:val="00FA49BB"/>
    <w:rsid w:val="00FA54F1"/>
    <w:rsid w:val="00FA75D2"/>
    <w:rsid w:val="00FB3513"/>
    <w:rsid w:val="00FB3A0E"/>
    <w:rsid w:val="00FB4003"/>
    <w:rsid w:val="00FB7C17"/>
    <w:rsid w:val="00FC1321"/>
    <w:rsid w:val="00FC17E1"/>
    <w:rsid w:val="00FC1865"/>
    <w:rsid w:val="00FC26AD"/>
    <w:rsid w:val="00FD2732"/>
    <w:rsid w:val="00FE0EDB"/>
    <w:rsid w:val="00FE624A"/>
    <w:rsid w:val="00FF7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BE70"/>
  <w15:chartTrackingRefBased/>
  <w15:docId w15:val="{EA160BC6-B904-414F-A1F9-4E35E0EE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E9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CC">
    <w:name w:val="TJCC第ㄧ行"/>
    <w:basedOn w:val="a"/>
    <w:autoRedefine/>
    <w:rsid w:val="00917CF5"/>
    <w:pPr>
      <w:keepNext/>
      <w:keepLines/>
      <w:numPr>
        <w:numId w:val="2"/>
      </w:numPr>
      <w:suppressAutoHyphens/>
      <w:overflowPunct w:val="0"/>
      <w:adjustRightInd w:val="0"/>
      <w:snapToGrid w:val="0"/>
      <w:spacing w:line="320" w:lineRule="exact"/>
      <w:jc w:val="both"/>
      <w:outlineLvl w:val="0"/>
    </w:pPr>
    <w:rPr>
      <w:rFonts w:ascii="Tahoma" w:eastAsia="華康細圓體" w:hAnsi="標楷體" w:cs="新細明體"/>
      <w:color w:val="0000FF"/>
      <w:szCs w:val="28"/>
    </w:rPr>
  </w:style>
  <w:style w:type="paragraph" w:customStyle="1" w:styleId="TJCC0">
    <w:name w:val="TJCC第二行名字"/>
    <w:basedOn w:val="a"/>
    <w:autoRedefine/>
    <w:rsid w:val="00917CF5"/>
    <w:pPr>
      <w:keepLines/>
      <w:tabs>
        <w:tab w:val="left" w:pos="680"/>
      </w:tabs>
      <w:suppressAutoHyphens/>
      <w:adjustRightInd w:val="0"/>
      <w:snapToGrid w:val="0"/>
      <w:spacing w:before="120" w:after="120" w:line="280" w:lineRule="exact"/>
      <w:ind w:leftChars="280" w:left="280"/>
      <w:jc w:val="both"/>
      <w:outlineLvl w:val="1"/>
    </w:pPr>
    <w:rPr>
      <w:rFonts w:ascii="Tahoma" w:eastAsia="華康細圓體" w:hAnsi="標楷體" w:cs="新細明體"/>
      <w:color w:val="339966"/>
      <w:lang w:val="de-DE"/>
    </w:rPr>
  </w:style>
  <w:style w:type="paragraph" w:customStyle="1" w:styleId="TJCC1">
    <w:name w:val="TJCC第三行醫院"/>
    <w:basedOn w:val="a"/>
    <w:autoRedefine/>
    <w:rsid w:val="004109DA"/>
    <w:pPr>
      <w:kinsoku w:val="0"/>
      <w:overflowPunct w:val="0"/>
      <w:autoSpaceDE w:val="0"/>
      <w:autoSpaceDN w:val="0"/>
      <w:adjustRightInd w:val="0"/>
      <w:spacing w:beforeLines="50" w:before="180" w:line="240" w:lineRule="exact"/>
      <w:textAlignment w:val="baseline"/>
    </w:pPr>
    <w:rPr>
      <w:rFonts w:ascii="Tahoma" w:eastAsia="華康細圓體" w:hAnsi="Tahoma" w:cs="Tunga"/>
      <w:noProof/>
      <w:kern w:val="0"/>
    </w:rPr>
  </w:style>
  <w:style w:type="character" w:styleId="a3">
    <w:name w:val="Hyperlink"/>
    <w:rsid w:val="00A55E9C"/>
    <w:rPr>
      <w:color w:val="0000FF"/>
      <w:u w:val="single"/>
    </w:rPr>
  </w:style>
  <w:style w:type="paragraph" w:styleId="a4">
    <w:name w:val="Body Text"/>
    <w:basedOn w:val="a"/>
    <w:rsid w:val="00A55E9C"/>
    <w:pPr>
      <w:spacing w:after="120"/>
    </w:pPr>
  </w:style>
  <w:style w:type="table" w:styleId="a5">
    <w:name w:val="Table Grid"/>
    <w:basedOn w:val="a1"/>
    <w:rsid w:val="00A55E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2">
    <w:name w:val="h12"/>
    <w:rsid w:val="00A55E9C"/>
    <w:rPr>
      <w:b/>
      <w:bCs/>
      <w:vanish w:val="0"/>
      <w:webHidden w:val="0"/>
      <w:color w:val="336633"/>
      <w:bdr w:val="double" w:sz="6" w:space="3" w:color="CCCCCC" w:frame="1"/>
      <w:specVanish w:val="0"/>
    </w:rPr>
  </w:style>
  <w:style w:type="paragraph" w:styleId="a6">
    <w:name w:val="header"/>
    <w:basedOn w:val="a"/>
    <w:link w:val="a7"/>
    <w:rsid w:val="006F4305"/>
    <w:pPr>
      <w:tabs>
        <w:tab w:val="center" w:pos="4153"/>
        <w:tab w:val="right" w:pos="8306"/>
      </w:tabs>
      <w:snapToGrid w:val="0"/>
    </w:pPr>
    <w:rPr>
      <w:sz w:val="20"/>
      <w:szCs w:val="20"/>
    </w:rPr>
  </w:style>
  <w:style w:type="character" w:customStyle="1" w:styleId="a7">
    <w:name w:val="頁首 字元"/>
    <w:link w:val="a6"/>
    <w:rsid w:val="006F4305"/>
    <w:rPr>
      <w:kern w:val="2"/>
    </w:rPr>
  </w:style>
  <w:style w:type="paragraph" w:styleId="a8">
    <w:name w:val="footer"/>
    <w:basedOn w:val="a"/>
    <w:link w:val="a9"/>
    <w:rsid w:val="006F4305"/>
    <w:pPr>
      <w:tabs>
        <w:tab w:val="center" w:pos="4153"/>
        <w:tab w:val="right" w:pos="8306"/>
      </w:tabs>
      <w:snapToGrid w:val="0"/>
    </w:pPr>
    <w:rPr>
      <w:sz w:val="20"/>
      <w:szCs w:val="20"/>
    </w:rPr>
  </w:style>
  <w:style w:type="character" w:customStyle="1" w:styleId="a9">
    <w:name w:val="頁尾 字元"/>
    <w:link w:val="a8"/>
    <w:rsid w:val="006F4305"/>
    <w:rPr>
      <w:kern w:val="2"/>
    </w:rPr>
  </w:style>
  <w:style w:type="paragraph" w:customStyle="1" w:styleId="Teaser">
    <w:name w:val="Teaser"/>
    <w:basedOn w:val="a"/>
    <w:rsid w:val="00FB4003"/>
    <w:pPr>
      <w:widowControl/>
      <w:spacing w:before="120"/>
    </w:pPr>
    <w:rPr>
      <w:rFonts w:eastAsia="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1430</Words>
  <Characters>3391</Characters>
  <Application>Microsoft Office Word</Application>
  <DocSecurity>0</DocSecurity>
  <Lines>125</Lines>
  <Paragraphs>87</Paragraphs>
  <ScaleCrop>false</ScaleCrop>
  <Company>CMT</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BCST</dc:creator>
  <cp:keywords/>
  <dc:description/>
  <cp:lastModifiedBy>Microsoft Office User</cp:lastModifiedBy>
  <cp:revision>3</cp:revision>
  <cp:lastPrinted>2012-02-07T02:56:00Z</cp:lastPrinted>
  <dcterms:created xsi:type="dcterms:W3CDTF">2022-07-19T04:02:00Z</dcterms:created>
  <dcterms:modified xsi:type="dcterms:W3CDTF">2024-08-01T01:58:00Z</dcterms:modified>
</cp:coreProperties>
</file>